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EA" w:rsidRDefault="008C3CEA" w:rsidP="00842E7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3A32" w:rsidRDefault="00663A32" w:rsidP="00663A32">
      <w:pPr>
        <w:ind w:left="4956" w:firstLine="708"/>
        <w:jc w:val="both"/>
        <w:rPr>
          <w:b/>
        </w:rPr>
      </w:pPr>
    </w:p>
    <w:p w:rsidR="00EA46B9" w:rsidRDefault="00EA46B9" w:rsidP="00663A32">
      <w:pPr>
        <w:ind w:left="4956" w:firstLine="708"/>
        <w:jc w:val="both"/>
        <w:rPr>
          <w:b/>
        </w:rPr>
      </w:pPr>
    </w:p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A46B9" w:rsidTr="001A6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A46B9" w:rsidRPr="002C302A" w:rsidRDefault="00EA46B9" w:rsidP="001A6220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:rsidR="00EA46B9" w:rsidRDefault="00EA46B9" w:rsidP="001A62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EA46B9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A46B9" w:rsidRPr="002C302A" w:rsidRDefault="00EA46B9" w:rsidP="001A6220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:rsidR="00EA46B9" w:rsidRDefault="00EA46B9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EA46B9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A46B9" w:rsidRPr="002C302A" w:rsidRDefault="00EA46B9" w:rsidP="001A6220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:rsidR="00EA46B9" w:rsidRDefault="00EA46B9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EA46B9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A46B9" w:rsidRPr="002C302A" w:rsidRDefault="00EA46B9" w:rsidP="001A6220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:rsidR="00EA46B9" w:rsidRDefault="00EA46B9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NFP314010L915</w:t>
            </w:r>
          </w:p>
        </w:tc>
      </w:tr>
      <w:tr w:rsidR="00EA46B9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A46B9" w:rsidRPr="002C302A" w:rsidRDefault="00EA46B9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:rsidR="00EA46B9" w:rsidRDefault="00EA46B9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Hlavná aktivita č. 4, </w:t>
            </w:r>
            <w:r w:rsidRPr="0085711F">
              <w:t>Podpora a sieťovanie aktérov v politikách sociálnej inklúzie MRK</w:t>
            </w:r>
          </w:p>
        </w:tc>
      </w:tr>
      <w:tr w:rsidR="00EA46B9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A46B9" w:rsidRPr="002C302A" w:rsidRDefault="00EA46B9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:rsidR="00EA46B9" w:rsidRDefault="00EA46B9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Návrh na opatrenie zamerané na zefektívnenie verejnej správy</w:t>
            </w:r>
          </w:p>
        </w:tc>
      </w:tr>
      <w:tr w:rsidR="00EA46B9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A46B9" w:rsidRPr="002C302A" w:rsidRDefault="00EA46B9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6799" w:type="dxa"/>
          </w:tcPr>
          <w:p w:rsidR="00EA46B9" w:rsidRDefault="00EA46B9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Zlepšenie výučby finančnej gramotnosti na základných školách</w:t>
            </w:r>
          </w:p>
        </w:tc>
      </w:tr>
      <w:tr w:rsidR="00EA46B9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A46B9" w:rsidRPr="002C302A" w:rsidRDefault="00EA46B9" w:rsidP="001A6220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:rsidR="00EA46B9" w:rsidRDefault="00EA46B9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3A32">
              <w:t>Ministerstvo školstva, vedy, výskumu a športu Slovenskej republiky</w:t>
            </w:r>
          </w:p>
        </w:tc>
      </w:tr>
    </w:tbl>
    <w:p w:rsidR="00EA46B9" w:rsidRDefault="00EA46B9" w:rsidP="00663A32">
      <w:pPr>
        <w:ind w:left="4956" w:firstLine="708"/>
        <w:jc w:val="both"/>
        <w:rPr>
          <w:b/>
        </w:rPr>
      </w:pPr>
    </w:p>
    <w:p w:rsidR="00EA46B9" w:rsidRDefault="00EA46B9" w:rsidP="00663A32">
      <w:pPr>
        <w:ind w:left="4956" w:firstLine="708"/>
        <w:jc w:val="both"/>
        <w:rPr>
          <w:b/>
        </w:rPr>
      </w:pPr>
    </w:p>
    <w:p w:rsidR="00637CBE" w:rsidRDefault="00637CBE" w:rsidP="009A3E1A">
      <w:pPr>
        <w:jc w:val="both"/>
        <w:rPr>
          <w:b/>
        </w:rPr>
      </w:pPr>
      <w:r w:rsidRPr="002F423D">
        <w:rPr>
          <w:b/>
        </w:rPr>
        <w:t xml:space="preserve">VEC: </w:t>
      </w:r>
      <w:r w:rsidR="002561D7" w:rsidRPr="002F423D">
        <w:rPr>
          <w:b/>
        </w:rPr>
        <w:t xml:space="preserve">Návrh opatrenia </w:t>
      </w:r>
      <w:r w:rsidRPr="002F423D">
        <w:rPr>
          <w:b/>
        </w:rPr>
        <w:t xml:space="preserve">na zefektívnenie verejnej správy _ </w:t>
      </w:r>
      <w:r w:rsidR="00862C63">
        <w:rPr>
          <w:b/>
        </w:rPr>
        <w:t xml:space="preserve">Zlepšenie výučby finančnej gramotnosti na </w:t>
      </w:r>
      <w:r w:rsidR="00663A32">
        <w:rPr>
          <w:b/>
        </w:rPr>
        <w:t xml:space="preserve">základných </w:t>
      </w:r>
      <w:r w:rsidR="00862C63">
        <w:rPr>
          <w:b/>
        </w:rPr>
        <w:t>školách</w:t>
      </w:r>
    </w:p>
    <w:p w:rsidR="00663A32" w:rsidRDefault="00663A32" w:rsidP="009A3E1A">
      <w:pPr>
        <w:jc w:val="both"/>
        <w:rPr>
          <w:b/>
        </w:rPr>
      </w:pPr>
    </w:p>
    <w:p w:rsidR="00663A32" w:rsidRDefault="00663A32" w:rsidP="00663A32">
      <w:pPr>
        <w:jc w:val="both"/>
      </w:pPr>
      <w:r>
        <w:t xml:space="preserve">Obraciame sa na Vás s návrhom opatrenia pre zlepšenie verejnej správy týkajúce sa výučby finančnej gramotnosti na základných školách. Naša organizácia realizuje projekt, ktorý je zameraný na zber podnetov na zefektívnenie verejnej správy a vypracovanie návrhov týchto opatrení. Opatrenie sme formulovali na základe analýzy prieskumu, ktorý je prílohou tohto opatrenia. Informácie o projekte a opatrení sú zhrnuté v nasledovnej tabuľke: </w:t>
      </w:r>
    </w:p>
    <w:p w:rsidR="008C3CEA" w:rsidRDefault="008C3CEA" w:rsidP="00842E7E">
      <w:pPr>
        <w:jc w:val="both"/>
      </w:pPr>
    </w:p>
    <w:p w:rsidR="0006662E" w:rsidRPr="00446CFB" w:rsidRDefault="004974A8" w:rsidP="00842E7E">
      <w:pPr>
        <w:jc w:val="both"/>
        <w:rPr>
          <w:b/>
        </w:rPr>
      </w:pPr>
      <w:r>
        <w:rPr>
          <w:b/>
        </w:rPr>
        <w:t>Úvod</w:t>
      </w:r>
    </w:p>
    <w:p w:rsidR="00F01252" w:rsidRDefault="00F01252" w:rsidP="00842E7E">
      <w:pPr>
        <w:jc w:val="both"/>
      </w:pPr>
      <w:r>
        <w:t>Opatrenie b</w:t>
      </w:r>
      <w:r w:rsidR="003A4BE0">
        <w:t xml:space="preserve">olo vytvorené v rámci projektu </w:t>
      </w:r>
      <w:r w:rsidRPr="003A4BE0">
        <w:rPr>
          <w:i/>
        </w:rPr>
        <w:t xml:space="preserve">Lepšie verejné politiky pre </w:t>
      </w:r>
      <w:r w:rsidR="003A4BE0" w:rsidRPr="003A4BE0">
        <w:rPr>
          <w:i/>
        </w:rPr>
        <w:t>marginalizované rómske komunity (ďalej aj „</w:t>
      </w:r>
      <w:r w:rsidRPr="003A4BE0">
        <w:rPr>
          <w:i/>
        </w:rPr>
        <w:t>MRK“</w:t>
      </w:r>
      <w:r w:rsidR="003A4BE0" w:rsidRPr="003A4BE0">
        <w:rPr>
          <w:i/>
        </w:rPr>
        <w:t>)</w:t>
      </w:r>
      <w:r w:rsidRPr="003A4BE0">
        <w:rPr>
          <w:i/>
        </w:rPr>
        <w:t xml:space="preserve">, </w:t>
      </w:r>
      <w:r>
        <w:t>ktorý realizuje organizácia Človek v</w:t>
      </w:r>
      <w:r w:rsidR="008B2870">
        <w:t> </w:t>
      </w:r>
      <w:r>
        <w:t>ohrození</w:t>
      </w:r>
      <w:r w:rsidR="008B2870">
        <w:t xml:space="preserve">, </w:t>
      </w:r>
      <w:proofErr w:type="spellStart"/>
      <w:r w:rsidR="008B2870">
        <w:t>n.o</w:t>
      </w:r>
      <w:proofErr w:type="spellEnd"/>
      <w:r w:rsidR="008B2870">
        <w:t>.</w:t>
      </w:r>
      <w:r>
        <w:t xml:space="preserve"> prostredníctvom </w:t>
      </w:r>
      <w:r w:rsidR="00ED64B7">
        <w:t xml:space="preserve">operačného </w:t>
      </w:r>
      <w:r>
        <w:t>programu Efektívna verejná správa.</w:t>
      </w:r>
    </w:p>
    <w:p w:rsidR="00F01252" w:rsidRDefault="00F01252" w:rsidP="00842E7E">
      <w:pPr>
        <w:jc w:val="both"/>
      </w:pPr>
    </w:p>
    <w:p w:rsidR="00F01252" w:rsidRPr="00446CFB" w:rsidRDefault="00D72F16" w:rsidP="00842E7E">
      <w:pPr>
        <w:jc w:val="both"/>
        <w:rPr>
          <w:b/>
        </w:rPr>
      </w:pPr>
      <w:r w:rsidRPr="00446CFB">
        <w:rPr>
          <w:b/>
        </w:rPr>
        <w:t>Kto d</w:t>
      </w:r>
      <w:r w:rsidR="004974A8">
        <w:rPr>
          <w:b/>
        </w:rPr>
        <w:t>al podnet na riešenie problému</w:t>
      </w:r>
    </w:p>
    <w:p w:rsidR="00D72F16" w:rsidRDefault="001E0276" w:rsidP="00842E7E">
      <w:pPr>
        <w:jc w:val="both"/>
      </w:pPr>
      <w:r>
        <w:t>Podnet na riešenie problému priniesla p</w:t>
      </w:r>
      <w:r w:rsidR="00D72F16">
        <w:t xml:space="preserve">latforma </w:t>
      </w:r>
      <w:r w:rsidR="00862C63">
        <w:t>(</w:t>
      </w:r>
      <w:proofErr w:type="spellStart"/>
      <w:r w:rsidR="00862C63">
        <w:t>multisektorové</w:t>
      </w:r>
      <w:proofErr w:type="spellEnd"/>
      <w:r w:rsidR="00862C63">
        <w:t xml:space="preserve"> stretnutie)</w:t>
      </w:r>
      <w:r w:rsidR="00D72F16">
        <w:t>, vytvorená v rámci rovnakého projektu</w:t>
      </w:r>
      <w:r>
        <w:t>, aktivity č. 4 (</w:t>
      </w:r>
      <w:r w:rsidRPr="001E0276">
        <w:t>Podpora a sieťovanie aktérov v politikách sociálnej inklúzie MRK</w:t>
      </w:r>
      <w:r w:rsidR="00637CBE">
        <w:t>)</w:t>
      </w:r>
      <w:r w:rsidR="00862C63">
        <w:t>. Stretnutie platformy sa konalo dňa 10. júna</w:t>
      </w:r>
      <w:r w:rsidR="00D72F16">
        <w:t xml:space="preserve"> 2019.</w:t>
      </w:r>
    </w:p>
    <w:p w:rsidR="00862C63" w:rsidRDefault="00862C63" w:rsidP="00842E7E">
      <w:pPr>
        <w:jc w:val="both"/>
      </w:pPr>
    </w:p>
    <w:p w:rsidR="00EA46B9" w:rsidRDefault="00EA46B9" w:rsidP="00842E7E">
      <w:pPr>
        <w:jc w:val="both"/>
      </w:pPr>
    </w:p>
    <w:p w:rsidR="00EA46B9" w:rsidRDefault="00EA46B9" w:rsidP="00842E7E">
      <w:pPr>
        <w:jc w:val="both"/>
      </w:pPr>
    </w:p>
    <w:p w:rsidR="00D72F16" w:rsidRPr="00446CFB" w:rsidRDefault="004974A8" w:rsidP="00842E7E">
      <w:pPr>
        <w:jc w:val="both"/>
        <w:rPr>
          <w:b/>
        </w:rPr>
      </w:pPr>
      <w:r>
        <w:rPr>
          <w:b/>
        </w:rPr>
        <w:lastRenderedPageBreak/>
        <w:t>Pomenovanie problému</w:t>
      </w:r>
    </w:p>
    <w:p w:rsidR="00862C63" w:rsidRDefault="00862C63" w:rsidP="00862C63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862C63">
        <w:t>Jedným z hlavných výsledkov</w:t>
      </w:r>
      <w:r w:rsidR="003A4BE0">
        <w:t xml:space="preserve"> stretnutia</w:t>
      </w:r>
      <w:r w:rsidRPr="00862C63">
        <w:t xml:space="preserve"> </w:t>
      </w:r>
      <w:proofErr w:type="spellStart"/>
      <w:r w:rsidRPr="00862C63">
        <w:t>multisektorovej</w:t>
      </w:r>
      <w:proofErr w:type="spellEnd"/>
      <w:r w:rsidRPr="00862C63">
        <w:t xml:space="preserve"> platformy bola deklarovaná potreba zlepšovania finančnej  gramotnosti (ďalej </w:t>
      </w:r>
      <w:r w:rsidR="001E0276">
        <w:t xml:space="preserve">aj </w:t>
      </w:r>
      <w:r w:rsidR="003A4BE0">
        <w:t>„FG“) v rámci marginalizovaných rómskych komunít</w:t>
      </w:r>
      <w:r w:rsidRPr="00862C63">
        <w:t>.</w:t>
      </w:r>
      <w:r w:rsidRPr="00862C63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Je potrebné konštatov</w:t>
      </w:r>
      <w:r w:rsidRPr="00DD4FFD">
        <w:rPr>
          <w:rFonts w:cs="Times New Roman"/>
          <w:color w:val="000000" w:themeColor="text1"/>
        </w:rPr>
        <w:t>ať, že úroveň finančnej gramotnosti j</w:t>
      </w:r>
      <w:r>
        <w:rPr>
          <w:rFonts w:cs="Times New Roman"/>
          <w:color w:val="000000" w:themeColor="text1"/>
        </w:rPr>
        <w:t>e všeobecný problém na území SR. Vzhľadom na skutočnosť, že pre dospelých</w:t>
      </w:r>
      <w:r w:rsidRPr="00DD4FFD">
        <w:rPr>
          <w:rFonts w:cs="Times New Roman"/>
          <w:color w:val="000000" w:themeColor="text1"/>
        </w:rPr>
        <w:t xml:space="preserve"> neexistuje systematický a celoplošný nástroj na vzdelávanie, je potrebné obrátiť pozornosť na vzdelávanie vo finančnej </w:t>
      </w:r>
      <w:r>
        <w:rPr>
          <w:rFonts w:cs="Times New Roman"/>
          <w:color w:val="000000" w:themeColor="text1"/>
        </w:rPr>
        <w:t>gramotnosti na školách. V projekte</w:t>
      </w:r>
      <w:r w:rsidRPr="00DD4FFD">
        <w:rPr>
          <w:rFonts w:cs="Times New Roman"/>
          <w:color w:val="000000" w:themeColor="text1"/>
        </w:rPr>
        <w:t xml:space="preserve"> sme preto realizovali výskum týkajúci sa spôsobu vzdelávania vo finančnej gr</w:t>
      </w:r>
      <w:r w:rsidR="00663A32">
        <w:rPr>
          <w:rFonts w:cs="Times New Roman"/>
          <w:color w:val="000000" w:themeColor="text1"/>
        </w:rPr>
        <w:t>amotnosti na školách v rámci Prešovského samosprávneho kraja (na tento kraj je projekt orientovaný)</w:t>
      </w:r>
      <w:r>
        <w:rPr>
          <w:rFonts w:cs="Times New Roman"/>
          <w:color w:val="000000" w:themeColor="text1"/>
        </w:rPr>
        <w:t xml:space="preserve"> s podielom žiakov z MRK – výsledok výskumu je zhrnutý</w:t>
      </w:r>
      <w:r w:rsidR="00D7423B">
        <w:rPr>
          <w:rFonts w:cs="Times New Roman"/>
          <w:color w:val="000000" w:themeColor="text1"/>
        </w:rPr>
        <w:t xml:space="preserve"> v Analýze výuky finančnej gramotnosti na štátnych základných školách s podielom marginalizovaných rómskych komunít v rámci POSK</w:t>
      </w:r>
      <w:r w:rsidR="00A16E79">
        <w:rPr>
          <w:rFonts w:cs="Times New Roman"/>
          <w:color w:val="000000" w:themeColor="text1"/>
        </w:rPr>
        <w:t xml:space="preserve"> a jej porovnanie s Národným štandardom finančnej gramotnosti</w:t>
      </w:r>
      <w:r w:rsidR="001E0276">
        <w:rPr>
          <w:rFonts w:cs="Times New Roman"/>
          <w:color w:val="000000" w:themeColor="text1"/>
        </w:rPr>
        <w:t xml:space="preserve"> (ďalej aj</w:t>
      </w:r>
      <w:r w:rsidR="00D7423B">
        <w:rPr>
          <w:rFonts w:cs="Times New Roman"/>
          <w:color w:val="000000" w:themeColor="text1"/>
        </w:rPr>
        <w:t xml:space="preserve"> „Analýza“). </w:t>
      </w:r>
      <w:r w:rsidR="003A4BE0">
        <w:rPr>
          <w:rFonts w:cs="Times New Roman"/>
          <w:color w:val="000000" w:themeColor="text1"/>
        </w:rPr>
        <w:t xml:space="preserve">Aj keď sa prieskum týka škôl s podielom MRK a v rámci POSK, predpokladáme, že návrh opatrení sa môže týkať výuky finančnej gramotnosti vo všeobecnosti. </w:t>
      </w:r>
    </w:p>
    <w:p w:rsidR="004F6362" w:rsidRPr="00862C63" w:rsidRDefault="004F6362" w:rsidP="00862C63">
      <w:pPr>
        <w:jc w:val="both"/>
      </w:pPr>
    </w:p>
    <w:p w:rsidR="004F6362" w:rsidRPr="00446CFB" w:rsidRDefault="004974A8" w:rsidP="00842E7E">
      <w:pPr>
        <w:jc w:val="both"/>
        <w:rPr>
          <w:b/>
        </w:rPr>
      </w:pPr>
      <w:r>
        <w:rPr>
          <w:b/>
        </w:rPr>
        <w:t>Riešenie problému</w:t>
      </w:r>
    </w:p>
    <w:p w:rsidR="00944E02" w:rsidRDefault="00D87100" w:rsidP="00D7423B">
      <w:pPr>
        <w:jc w:val="both"/>
      </w:pPr>
      <w:r>
        <w:t xml:space="preserve">Za najlepšie riešenie problému považujeme </w:t>
      </w:r>
      <w:r w:rsidR="00D7423B">
        <w:t xml:space="preserve">prijať také opatrenia v oblasti verejnej správy – výučby finančnej gramotnosti na školách, ktoré zabezpečia </w:t>
      </w:r>
      <w:r w:rsidR="00D6154B">
        <w:t>lepší systém výučby</w:t>
      </w:r>
      <w:r w:rsidR="00D7423B">
        <w:t xml:space="preserve"> tejto problematiky v rámci školského systému. Navrhované opatrenia vychádzajú z Analýzy, ktorá na základe prieskumu </w:t>
      </w:r>
      <w:r w:rsidR="0035088E">
        <w:t>pomenovala viaceré problematické oblasti vo</w:t>
      </w:r>
      <w:r w:rsidR="00D7423B">
        <w:t xml:space="preserve"> </w:t>
      </w:r>
      <w:r w:rsidR="0035088E">
        <w:t>výučbe finančnej gramotnosti na školách</w:t>
      </w:r>
      <w:r w:rsidR="00D7423B">
        <w:t xml:space="preserve"> </w:t>
      </w:r>
      <w:r w:rsidR="0035088E">
        <w:t>a ktorých odstránenie sa javí ako cesta k zlepšeniu systému výučby a tým aj zlepšeniu úrovne vedomostí žiakov</w:t>
      </w:r>
      <w:r w:rsidR="00114093">
        <w:t xml:space="preserve"> v danej oblasti</w:t>
      </w:r>
      <w:r w:rsidR="0035088E">
        <w:t xml:space="preserve">. </w:t>
      </w:r>
    </w:p>
    <w:p w:rsidR="004974A8" w:rsidRPr="004974A8" w:rsidRDefault="004974A8" w:rsidP="00842E7E">
      <w:pPr>
        <w:jc w:val="both"/>
        <w:rPr>
          <w:b/>
        </w:rPr>
      </w:pPr>
      <w:r w:rsidRPr="004974A8">
        <w:rPr>
          <w:b/>
        </w:rPr>
        <w:t>Navrhované opatrenia zamerané na zefektívnenie verejnej správy</w:t>
      </w:r>
    </w:p>
    <w:p w:rsidR="00944E02" w:rsidRPr="00842E7E" w:rsidRDefault="00944E02" w:rsidP="00944E02">
      <w:pPr>
        <w:jc w:val="both"/>
      </w:pPr>
      <w:r>
        <w:t xml:space="preserve">Organizácia Človek v ohrození, </w:t>
      </w:r>
      <w:proofErr w:type="spellStart"/>
      <w:r>
        <w:t>n.o</w:t>
      </w:r>
      <w:proofErr w:type="spellEnd"/>
      <w:r>
        <w:t xml:space="preserve">. navrhuje </w:t>
      </w:r>
      <w:r w:rsidR="0035088E">
        <w:t>prijať na základe priloženej Analýzy nasledovné opatrenia v oblasti výučby finančnej gramotnosti</w:t>
      </w:r>
      <w:r w:rsidR="00B575A5">
        <w:t xml:space="preserve">: </w:t>
      </w:r>
    </w:p>
    <w:p w:rsidR="00B575A5" w:rsidRDefault="00B575A5" w:rsidP="00B575A5">
      <w:pPr>
        <w:jc w:val="both"/>
      </w:pPr>
    </w:p>
    <w:p w:rsidR="001E0276" w:rsidRPr="00A12F1E" w:rsidRDefault="0035088E" w:rsidP="000C292E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A12F1E">
        <w:rPr>
          <w:rFonts w:cs="Times New Roman"/>
          <w:b/>
          <w:color w:val="000000" w:themeColor="text1"/>
        </w:rPr>
        <w:t xml:space="preserve">Výučbu finančnej gramotnosti zastrešiť do konkrétneho vyučovacieho predmetu </w:t>
      </w:r>
      <w:r w:rsidRPr="00A12F1E">
        <w:rPr>
          <w:rFonts w:cs="Times New Roman"/>
          <w:color w:val="000000" w:themeColor="text1"/>
        </w:rPr>
        <w:t xml:space="preserve">– je potrebné určiť, v rámci ktorého predmetu má výučba finančnej gramotnosti prebiehať. V prípade, že sa určí, že finančná gramotnosť sa bude vyučovať v rámci viacerých predmetov, je potrebné určiť, v rámci ktorého predmetu sa bude ktorá časť/oblasť finančnej gramotnosti vyučovať. </w:t>
      </w:r>
    </w:p>
    <w:p w:rsidR="001E0276" w:rsidRPr="001E0276" w:rsidRDefault="001E0276" w:rsidP="001E0276">
      <w:pPr>
        <w:pStyle w:val="Odsekzoznamu"/>
        <w:spacing w:after="0" w:line="276" w:lineRule="auto"/>
        <w:ind w:left="1080"/>
        <w:jc w:val="both"/>
        <w:rPr>
          <w:rFonts w:cs="Times New Roman"/>
          <w:color w:val="000000" w:themeColor="text1"/>
        </w:rPr>
      </w:pPr>
      <w:r w:rsidRPr="001E0276">
        <w:rPr>
          <w:rFonts w:cs="Times New Roman"/>
          <w:color w:val="000000" w:themeColor="text1"/>
          <w:u w:val="single"/>
        </w:rPr>
        <w:t>Vychádzalo sa zo zistenia</w:t>
      </w:r>
      <w:r w:rsidRPr="001E0276">
        <w:rPr>
          <w:rFonts w:cs="Times New Roman"/>
          <w:color w:val="000000" w:themeColor="text1"/>
        </w:rPr>
        <w:t>:</w:t>
      </w:r>
      <w:r>
        <w:rPr>
          <w:rFonts w:cs="Times New Roman"/>
          <w:b/>
          <w:color w:val="000000" w:themeColor="text1"/>
        </w:rPr>
        <w:t xml:space="preserve"> </w:t>
      </w:r>
      <w:r w:rsidRPr="001E0276">
        <w:rPr>
          <w:rFonts w:cs="Times New Roman"/>
          <w:b/>
          <w:color w:val="000000" w:themeColor="text1"/>
        </w:rPr>
        <w:t>FG nemá jasné zastrešenie v konkrétnom vyučovanom predmete</w:t>
      </w:r>
      <w:r w:rsidRPr="001E0276">
        <w:rPr>
          <w:rFonts w:cs="Times New Roman"/>
          <w:color w:val="000000" w:themeColor="text1"/>
        </w:rPr>
        <w:t xml:space="preserve"> – na niektorých školách sa vyučuje na predmetoch ako je matematika, niekde v rámci občianskej náuky, na iných školách v rámci spolupráce s externými subjektmi prostredníctvom zapojenia sa do projektov.</w:t>
      </w:r>
    </w:p>
    <w:p w:rsidR="0035088E" w:rsidRPr="001E0276" w:rsidRDefault="0035088E" w:rsidP="001E0276">
      <w:pPr>
        <w:spacing w:after="0" w:line="276" w:lineRule="auto"/>
        <w:jc w:val="both"/>
        <w:rPr>
          <w:rFonts w:cs="Times New Roman"/>
          <w:color w:val="000000" w:themeColor="text1"/>
        </w:rPr>
      </w:pPr>
    </w:p>
    <w:p w:rsidR="001E0276" w:rsidRDefault="0035088E" w:rsidP="001E0276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1E0276">
        <w:rPr>
          <w:rFonts w:cs="Times New Roman"/>
          <w:b/>
          <w:color w:val="000000" w:themeColor="text1"/>
        </w:rPr>
        <w:t xml:space="preserve">Je potrebné prijať jednoznačné personálne zastrešenie pre výuku finančnej gramotnosti na školách – </w:t>
      </w:r>
      <w:proofErr w:type="spellStart"/>
      <w:r w:rsidRPr="001E0276">
        <w:rPr>
          <w:rFonts w:cs="Times New Roman"/>
          <w:color w:val="000000" w:themeColor="text1"/>
        </w:rPr>
        <w:t>t.j</w:t>
      </w:r>
      <w:proofErr w:type="spellEnd"/>
      <w:r w:rsidRPr="001E0276">
        <w:rPr>
          <w:rFonts w:cs="Times New Roman"/>
          <w:color w:val="000000" w:themeColor="text1"/>
        </w:rPr>
        <w:t xml:space="preserve">. určiť, </w:t>
      </w:r>
      <w:r w:rsidR="001E0276">
        <w:rPr>
          <w:rFonts w:cs="Times New Roman"/>
          <w:color w:val="000000" w:themeColor="text1"/>
        </w:rPr>
        <w:t>aké osoby sú zodpovedné za výuku finančnej gramotnosti na školách</w:t>
      </w:r>
      <w:r w:rsidRPr="001E0276">
        <w:rPr>
          <w:rFonts w:cs="Times New Roman"/>
          <w:color w:val="000000" w:themeColor="text1"/>
        </w:rPr>
        <w:t xml:space="preserve"> na školách.</w:t>
      </w:r>
    </w:p>
    <w:p w:rsidR="001E0276" w:rsidRPr="008F042E" w:rsidRDefault="001E0276" w:rsidP="001E0276">
      <w:pPr>
        <w:pStyle w:val="Odsekzoznamu"/>
        <w:spacing w:after="0" w:line="276" w:lineRule="auto"/>
        <w:ind w:left="1080"/>
        <w:jc w:val="both"/>
        <w:rPr>
          <w:rFonts w:cs="Times New Roman"/>
          <w:color w:val="000000" w:themeColor="text1"/>
        </w:rPr>
      </w:pPr>
      <w:r w:rsidRPr="001E0276">
        <w:rPr>
          <w:rFonts w:cs="Times New Roman"/>
          <w:color w:val="000000" w:themeColor="text1"/>
          <w:u w:val="single"/>
        </w:rPr>
        <w:lastRenderedPageBreak/>
        <w:t>Vychádzalo sa zo zistenia</w:t>
      </w:r>
      <w:r w:rsidRPr="001E0276">
        <w:rPr>
          <w:rFonts w:cs="Times New Roman"/>
          <w:color w:val="000000" w:themeColor="text1"/>
        </w:rPr>
        <w:t>: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 xml:space="preserve">FG chýba jasné personálne zastrešenie - </w:t>
      </w:r>
      <w:r w:rsidRPr="008F042E">
        <w:rPr>
          <w:rFonts w:cs="Times New Roman"/>
          <w:color w:val="000000" w:themeColor="text1"/>
        </w:rPr>
        <w:t>osoby, ktoré zastrešujú na školách FG sú rôzne</w:t>
      </w:r>
      <w:r w:rsidRPr="008F042E">
        <w:rPr>
          <w:rFonts w:cs="Times New Roman"/>
          <w:b/>
          <w:color w:val="000000" w:themeColor="text1"/>
        </w:rPr>
        <w:t xml:space="preserve"> </w:t>
      </w:r>
      <w:r w:rsidRPr="008F042E">
        <w:rPr>
          <w:rFonts w:cs="Times New Roman"/>
          <w:color w:val="000000" w:themeColor="text1"/>
        </w:rPr>
        <w:t xml:space="preserve">– na niektorých školách nikto FG nezastrešuje, niekde ju zastrešujú učitelia matematiky, </w:t>
      </w:r>
      <w:r>
        <w:rPr>
          <w:rFonts w:cs="Times New Roman"/>
          <w:color w:val="000000" w:themeColor="text1"/>
        </w:rPr>
        <w:t xml:space="preserve">niekde učitelia </w:t>
      </w:r>
      <w:r w:rsidRPr="008F042E">
        <w:rPr>
          <w:rFonts w:cs="Times New Roman"/>
          <w:color w:val="000000" w:themeColor="text1"/>
        </w:rPr>
        <w:t xml:space="preserve">občianskej náuky, </w:t>
      </w:r>
      <w:r>
        <w:rPr>
          <w:rFonts w:cs="Times New Roman"/>
          <w:color w:val="000000" w:themeColor="text1"/>
        </w:rPr>
        <w:t xml:space="preserve">na niektorých školách sa títo učitelia vzájomne koordinujú na porade, </w:t>
      </w:r>
      <w:r w:rsidRPr="008F042E">
        <w:rPr>
          <w:rFonts w:cs="Times New Roman"/>
          <w:color w:val="000000" w:themeColor="text1"/>
        </w:rPr>
        <w:t xml:space="preserve">na iných školách zastrešuje túto výučbu koordinátor FG. Nie je pritom daný rámec kompetencií koordinátora FG a jednotlivých učiteľov. </w:t>
      </w:r>
    </w:p>
    <w:p w:rsidR="0035088E" w:rsidRPr="001E0276" w:rsidRDefault="0035088E" w:rsidP="001E0276">
      <w:pPr>
        <w:pStyle w:val="Odsekzoznamu"/>
        <w:spacing w:after="0" w:line="276" w:lineRule="auto"/>
        <w:ind w:left="1080"/>
        <w:jc w:val="both"/>
        <w:rPr>
          <w:rFonts w:cs="Times New Roman"/>
          <w:color w:val="000000" w:themeColor="text1"/>
        </w:rPr>
      </w:pPr>
    </w:p>
    <w:p w:rsidR="0035088E" w:rsidRDefault="0035088E" w:rsidP="001E0276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Prijať garantované ohodnotenie osôb (učiteľov) v</w:t>
      </w:r>
      <w:r w:rsidR="001E0276">
        <w:rPr>
          <w:rFonts w:cs="Times New Roman"/>
          <w:b/>
          <w:color w:val="000000" w:themeColor="text1"/>
        </w:rPr>
        <w:t xml:space="preserve">yučujúcich finančnú gramotnosť </w:t>
      </w:r>
      <w:r w:rsidR="001E0276" w:rsidRPr="001E0276">
        <w:rPr>
          <w:rFonts w:cs="Times New Roman"/>
          <w:color w:val="000000" w:themeColor="text1"/>
        </w:rPr>
        <w:t xml:space="preserve">– garantovanie </w:t>
      </w:r>
      <w:r w:rsidR="001E0276">
        <w:rPr>
          <w:rFonts w:cs="Times New Roman"/>
          <w:color w:val="000000" w:themeColor="text1"/>
        </w:rPr>
        <w:t xml:space="preserve">ohodnotenia a určenie finančných prostriedkov na danú oblasť pomôže spoločne s ostatnými </w:t>
      </w:r>
      <w:r w:rsidR="00A12F1E">
        <w:rPr>
          <w:rFonts w:cs="Times New Roman"/>
          <w:color w:val="000000" w:themeColor="text1"/>
        </w:rPr>
        <w:t>opatreniami zlepšiť úroveň výuky FG.</w:t>
      </w:r>
    </w:p>
    <w:p w:rsidR="001E0276" w:rsidRDefault="00A12F1E" w:rsidP="001E0276">
      <w:pPr>
        <w:pStyle w:val="Odsekzoznamu"/>
        <w:spacing w:after="0" w:line="276" w:lineRule="auto"/>
        <w:ind w:left="1080"/>
        <w:jc w:val="both"/>
        <w:rPr>
          <w:rFonts w:cs="Times New Roman"/>
          <w:b/>
          <w:color w:val="000000" w:themeColor="text1"/>
        </w:rPr>
      </w:pPr>
      <w:r w:rsidRPr="001E0276">
        <w:rPr>
          <w:rFonts w:cs="Times New Roman"/>
          <w:color w:val="000000" w:themeColor="text1"/>
          <w:u w:val="single"/>
        </w:rPr>
        <w:t>Vychádzalo sa zo zistenia</w:t>
      </w:r>
      <w:r w:rsidRPr="001E0276">
        <w:rPr>
          <w:rFonts w:cs="Times New Roman"/>
          <w:color w:val="000000" w:themeColor="text1"/>
        </w:rPr>
        <w:t>: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Neexistuje garantované ohodnotenie osôb zastrešujúcich FG</w:t>
      </w:r>
      <w:r w:rsidRPr="00F93307">
        <w:rPr>
          <w:rFonts w:cs="Times New Roman"/>
          <w:color w:val="000000" w:themeColor="text1"/>
        </w:rPr>
        <w:t xml:space="preserve"> –</w:t>
      </w:r>
      <w:r>
        <w:rPr>
          <w:rFonts w:cs="Times New Roman"/>
          <w:color w:val="000000" w:themeColor="text1"/>
        </w:rPr>
        <w:t xml:space="preserve"> </w:t>
      </w:r>
      <w:r w:rsidRPr="00F93307">
        <w:rPr>
          <w:rFonts w:cs="Times New Roman"/>
          <w:color w:val="000000" w:themeColor="text1"/>
        </w:rPr>
        <w:t xml:space="preserve">ohodnotenie za </w:t>
      </w:r>
      <w:r>
        <w:rPr>
          <w:rFonts w:cs="Times New Roman"/>
          <w:color w:val="000000" w:themeColor="text1"/>
        </w:rPr>
        <w:t xml:space="preserve">výkon funkcie koordinátora sa realizuje na základe osobného ohodnotenia riaditeľa, nie ako základná </w:t>
      </w:r>
      <w:proofErr w:type="spellStart"/>
      <w:r>
        <w:rPr>
          <w:rFonts w:cs="Times New Roman"/>
          <w:color w:val="000000" w:themeColor="text1"/>
        </w:rPr>
        <w:t>nárokovateľná</w:t>
      </w:r>
      <w:proofErr w:type="spellEnd"/>
      <w:r>
        <w:rPr>
          <w:rFonts w:cs="Times New Roman"/>
          <w:color w:val="000000" w:themeColor="text1"/>
        </w:rPr>
        <w:t xml:space="preserve"> zložka platu. </w:t>
      </w:r>
    </w:p>
    <w:p w:rsidR="001E0276" w:rsidRPr="00F93307" w:rsidRDefault="001E0276" w:rsidP="001E0276">
      <w:pPr>
        <w:pStyle w:val="Odsekzoznamu"/>
        <w:spacing w:after="0" w:line="276" w:lineRule="auto"/>
        <w:ind w:left="1080"/>
        <w:jc w:val="both"/>
        <w:rPr>
          <w:rFonts w:cs="Times New Roman"/>
          <w:color w:val="000000" w:themeColor="text1"/>
        </w:rPr>
      </w:pPr>
    </w:p>
    <w:p w:rsidR="00A12F1E" w:rsidRDefault="00C8051A" w:rsidP="00920CB5">
      <w:pPr>
        <w:pStyle w:val="Odsekzoznamu"/>
        <w:numPr>
          <w:ilvl w:val="0"/>
          <w:numId w:val="3"/>
        </w:numPr>
        <w:jc w:val="both"/>
        <w:rPr>
          <w:rFonts w:cs="Times New Roman"/>
          <w:color w:val="000000" w:themeColor="text1"/>
        </w:rPr>
      </w:pPr>
      <w:r w:rsidRPr="00A12F1E">
        <w:rPr>
          <w:rFonts w:cs="Times New Roman"/>
          <w:b/>
          <w:color w:val="000000" w:themeColor="text1"/>
        </w:rPr>
        <w:t>Pripraviť jednotné podklady pre výučbu finančnej gramotnosti na školách</w:t>
      </w:r>
      <w:r w:rsidRPr="00A12F1E">
        <w:rPr>
          <w:rFonts w:cs="Times New Roman"/>
          <w:color w:val="000000" w:themeColor="text1"/>
        </w:rPr>
        <w:t xml:space="preserve"> tak, aby </w:t>
      </w:r>
      <w:r w:rsidR="00A12F1E" w:rsidRPr="00A12F1E">
        <w:rPr>
          <w:rFonts w:cs="Times New Roman"/>
          <w:color w:val="000000" w:themeColor="text1"/>
        </w:rPr>
        <w:t xml:space="preserve">učitelia vyučujúci tento predmet disponovali kvalitným obsahom, z ktorého môžu vychádzať a jednak by sa takýmto postupom zjednotil obsah a kvalita výuky v rámci územia SR. </w:t>
      </w:r>
    </w:p>
    <w:p w:rsidR="00A12F1E" w:rsidRPr="00A12F1E" w:rsidRDefault="00A12F1E" w:rsidP="00A12F1E">
      <w:pPr>
        <w:pStyle w:val="Odsekzoznamu"/>
        <w:ind w:left="1080"/>
        <w:jc w:val="both"/>
        <w:rPr>
          <w:rFonts w:cs="Times New Roman"/>
          <w:color w:val="000000" w:themeColor="text1"/>
        </w:rPr>
      </w:pPr>
      <w:r w:rsidRPr="00A12F1E">
        <w:rPr>
          <w:rFonts w:cs="Times New Roman"/>
          <w:color w:val="000000" w:themeColor="text1"/>
          <w:u w:val="single"/>
        </w:rPr>
        <w:t>Vychádzalo sa zo zistenia</w:t>
      </w:r>
      <w:r w:rsidRPr="00A12F1E">
        <w:rPr>
          <w:rFonts w:cs="Times New Roman"/>
          <w:color w:val="000000" w:themeColor="text1"/>
        </w:rPr>
        <w:t xml:space="preserve">: </w:t>
      </w:r>
      <w:r w:rsidRPr="00A12F1E">
        <w:rPr>
          <w:rFonts w:cs="Times New Roman"/>
          <w:b/>
          <w:color w:val="000000" w:themeColor="text1"/>
        </w:rPr>
        <w:t>Chýbajú podklady pre výučbu FG</w:t>
      </w:r>
      <w:r w:rsidRPr="00A12F1E">
        <w:rPr>
          <w:rFonts w:cs="Times New Roman"/>
          <w:color w:val="000000" w:themeColor="text1"/>
        </w:rPr>
        <w:t xml:space="preserve"> – učitelia si musia zostavovať podklady pre učenie tejto témy sami. </w:t>
      </w:r>
    </w:p>
    <w:p w:rsidR="00A12F1E" w:rsidRDefault="00A12F1E" w:rsidP="00A12F1E">
      <w:pPr>
        <w:pStyle w:val="Odsekzoznamu"/>
        <w:ind w:left="1080"/>
        <w:jc w:val="both"/>
        <w:rPr>
          <w:rFonts w:cs="Times New Roman"/>
          <w:color w:val="000000" w:themeColor="text1"/>
        </w:rPr>
      </w:pPr>
    </w:p>
    <w:p w:rsidR="00A12F1E" w:rsidRDefault="00A12F1E" w:rsidP="001E0276">
      <w:pPr>
        <w:pStyle w:val="Odsekzoznamu"/>
        <w:numPr>
          <w:ilvl w:val="0"/>
          <w:numId w:val="3"/>
        </w:numPr>
        <w:jc w:val="both"/>
        <w:rPr>
          <w:rFonts w:cs="Times New Roman"/>
          <w:color w:val="000000" w:themeColor="text1"/>
        </w:rPr>
      </w:pPr>
      <w:r w:rsidRPr="00A12F1E">
        <w:rPr>
          <w:rFonts w:cs="Times New Roman"/>
          <w:b/>
          <w:color w:val="000000" w:themeColor="text1"/>
        </w:rPr>
        <w:t>V spolupráci s Metodicko-pedagogickými centrami je potrebné vytvoriť jednotný program školení pre učiteľov v oblasti FG</w:t>
      </w:r>
      <w:r>
        <w:rPr>
          <w:rFonts w:cs="Times New Roman"/>
          <w:color w:val="000000" w:themeColor="text1"/>
        </w:rPr>
        <w:t xml:space="preserve">. </w:t>
      </w:r>
    </w:p>
    <w:p w:rsidR="0035088E" w:rsidRDefault="00A12F1E" w:rsidP="00A12F1E">
      <w:pPr>
        <w:pStyle w:val="Odsekzoznamu"/>
        <w:ind w:left="1080"/>
        <w:jc w:val="both"/>
        <w:rPr>
          <w:rFonts w:cs="Times New Roman"/>
          <w:color w:val="000000" w:themeColor="text1"/>
        </w:rPr>
      </w:pPr>
      <w:r w:rsidRPr="00A12F1E">
        <w:rPr>
          <w:rFonts w:cs="Times New Roman"/>
          <w:color w:val="000000" w:themeColor="text1"/>
          <w:u w:val="single"/>
        </w:rPr>
        <w:t>Vychádzalo sa zo zistenia</w:t>
      </w:r>
      <w:r w:rsidRPr="00A12F1E">
        <w:rPr>
          <w:rFonts w:cs="Times New Roman"/>
          <w:color w:val="000000" w:themeColor="text1"/>
        </w:rPr>
        <w:t>:</w:t>
      </w:r>
      <w:r>
        <w:rPr>
          <w:rFonts w:cs="Times New Roman"/>
          <w:color w:val="000000" w:themeColor="text1"/>
        </w:rPr>
        <w:t xml:space="preserve"> </w:t>
      </w:r>
      <w:r w:rsidR="0035088E" w:rsidRPr="004E4EF4">
        <w:rPr>
          <w:rFonts w:cs="Times New Roman"/>
          <w:b/>
          <w:color w:val="000000" w:themeColor="text1"/>
        </w:rPr>
        <w:t>Učitelia nedostávajú v oblasti FG žiadne školenia</w:t>
      </w:r>
      <w:r w:rsidR="0035088E">
        <w:rPr>
          <w:rFonts w:cs="Times New Roman"/>
          <w:color w:val="000000" w:themeColor="text1"/>
        </w:rPr>
        <w:t xml:space="preserve"> – len na jednej zo všetkých opýtaných škôl bola osoba vyučujúca FG školená. </w:t>
      </w:r>
    </w:p>
    <w:p w:rsidR="00A12F1E" w:rsidRDefault="00A12F1E" w:rsidP="00A12F1E">
      <w:pPr>
        <w:pStyle w:val="Odsekzoznamu"/>
        <w:ind w:left="1080"/>
        <w:jc w:val="both"/>
        <w:rPr>
          <w:rFonts w:cs="Times New Roman"/>
          <w:color w:val="000000" w:themeColor="text1"/>
        </w:rPr>
      </w:pPr>
    </w:p>
    <w:p w:rsidR="00A12F1E" w:rsidRPr="009D6086" w:rsidRDefault="00A12F1E" w:rsidP="00D9010B">
      <w:pPr>
        <w:pStyle w:val="Odsekzoznamu"/>
        <w:numPr>
          <w:ilvl w:val="0"/>
          <w:numId w:val="3"/>
        </w:numPr>
        <w:jc w:val="both"/>
        <w:rPr>
          <w:rFonts w:cs="Times New Roman"/>
          <w:color w:val="000000" w:themeColor="text1"/>
        </w:rPr>
      </w:pPr>
      <w:r w:rsidRPr="009D6086">
        <w:rPr>
          <w:rFonts w:cs="Times New Roman"/>
          <w:b/>
          <w:color w:val="000000" w:themeColor="text1"/>
        </w:rPr>
        <w:t>Za</w:t>
      </w:r>
      <w:r w:rsidR="009D6086" w:rsidRPr="009D6086">
        <w:rPr>
          <w:rFonts w:cs="Times New Roman"/>
          <w:b/>
          <w:color w:val="000000" w:themeColor="text1"/>
        </w:rPr>
        <w:t>bezpečiť jednotnú úroveň výuky finančnej gramotnosti na školách a uvažovať o ocenení škôl, ktoré v danej oblasti urobia nadprácu zapojením sa do rôznych projektov/vytvorením vlastných programov.</w:t>
      </w:r>
    </w:p>
    <w:p w:rsidR="009D6086" w:rsidRDefault="009D6086" w:rsidP="009D6086">
      <w:pPr>
        <w:pStyle w:val="Odsekzoznamu"/>
        <w:ind w:left="1080"/>
        <w:jc w:val="both"/>
        <w:rPr>
          <w:rFonts w:cs="Times New Roman"/>
          <w:color w:val="000000" w:themeColor="text1"/>
        </w:rPr>
      </w:pPr>
      <w:r w:rsidRPr="00A12F1E">
        <w:rPr>
          <w:rFonts w:cs="Times New Roman"/>
          <w:color w:val="000000" w:themeColor="text1"/>
          <w:u w:val="single"/>
        </w:rPr>
        <w:t>Vychádzalo sa zo zistenia</w:t>
      </w:r>
      <w:r w:rsidRPr="00A12F1E">
        <w:rPr>
          <w:rFonts w:cs="Times New Roman"/>
          <w:color w:val="000000" w:themeColor="text1"/>
        </w:rPr>
        <w:t>:</w:t>
      </w:r>
      <w:r>
        <w:rPr>
          <w:rFonts w:cs="Times New Roman"/>
          <w:color w:val="000000" w:themeColor="text1"/>
        </w:rPr>
        <w:t xml:space="preserve"> </w:t>
      </w:r>
      <w:r w:rsidR="0035088E" w:rsidRPr="004E4EF4">
        <w:rPr>
          <w:rFonts w:cs="Times New Roman"/>
          <w:b/>
          <w:color w:val="000000" w:themeColor="text1"/>
        </w:rPr>
        <w:t>Školy implementujú FG na veľmi rôznej úrovni</w:t>
      </w:r>
      <w:r w:rsidR="0035088E">
        <w:rPr>
          <w:rFonts w:cs="Times New Roman"/>
          <w:color w:val="000000" w:themeColor="text1"/>
        </w:rPr>
        <w:t xml:space="preserve"> – od škôl, ktoré sa tejto téme vôbec nevenujú až po školy, ktoré sa zapojili do externých či interných projektov zlepšujúcich finančnú gramotnosť. </w:t>
      </w:r>
    </w:p>
    <w:p w:rsidR="009D6086" w:rsidRDefault="009D6086" w:rsidP="009D6086">
      <w:pPr>
        <w:pStyle w:val="Odsekzoznamu"/>
        <w:ind w:left="1080"/>
        <w:jc w:val="both"/>
        <w:rPr>
          <w:rFonts w:cs="Times New Roman"/>
          <w:color w:val="000000" w:themeColor="text1"/>
        </w:rPr>
      </w:pPr>
    </w:p>
    <w:p w:rsidR="009D6086" w:rsidRPr="009D6086" w:rsidRDefault="009D6086" w:rsidP="009D6086">
      <w:pPr>
        <w:pStyle w:val="Odsekzoznamu"/>
        <w:numPr>
          <w:ilvl w:val="0"/>
          <w:numId w:val="3"/>
        </w:numPr>
        <w:jc w:val="both"/>
        <w:rPr>
          <w:rFonts w:cs="Times New Roman"/>
          <w:b/>
          <w:color w:val="000000" w:themeColor="text1"/>
        </w:rPr>
      </w:pPr>
      <w:r w:rsidRPr="009D6086">
        <w:rPr>
          <w:rFonts w:cs="Times New Roman"/>
          <w:b/>
          <w:color w:val="000000" w:themeColor="text1"/>
        </w:rPr>
        <w:t>Vytvoriť jednotný systém štátneho monitoringu úrovne FG pre žiakov škôl</w:t>
      </w:r>
      <w:r>
        <w:rPr>
          <w:rFonts w:cs="Times New Roman"/>
          <w:b/>
          <w:color w:val="000000" w:themeColor="text1"/>
        </w:rPr>
        <w:t xml:space="preserve">, </w:t>
      </w:r>
      <w:r w:rsidRPr="009D6086">
        <w:rPr>
          <w:rFonts w:cs="Times New Roman"/>
          <w:color w:val="000000" w:themeColor="text1"/>
        </w:rPr>
        <w:t xml:space="preserve">aby sa získavala </w:t>
      </w:r>
      <w:r>
        <w:rPr>
          <w:rFonts w:cs="Times New Roman"/>
          <w:color w:val="000000" w:themeColor="text1"/>
        </w:rPr>
        <w:t xml:space="preserve">jednotným spôsobom spätná väzba úrovne žiakov v ovládaní danej oblasti. </w:t>
      </w:r>
    </w:p>
    <w:p w:rsidR="0035088E" w:rsidRDefault="009D6086" w:rsidP="009D6086">
      <w:pPr>
        <w:pStyle w:val="Odsekzoznamu"/>
        <w:ind w:left="1080"/>
        <w:jc w:val="both"/>
        <w:rPr>
          <w:rFonts w:cs="Times New Roman"/>
          <w:color w:val="000000" w:themeColor="text1"/>
        </w:rPr>
      </w:pPr>
      <w:r w:rsidRPr="009D6086">
        <w:rPr>
          <w:rFonts w:cs="Times New Roman"/>
          <w:color w:val="000000" w:themeColor="text1"/>
          <w:u w:val="single"/>
        </w:rPr>
        <w:t>Vychádzalo sa zo zistenia</w:t>
      </w:r>
      <w:r w:rsidRPr="009D6086">
        <w:rPr>
          <w:rFonts w:cs="Times New Roman"/>
          <w:color w:val="000000" w:themeColor="text1"/>
        </w:rPr>
        <w:t xml:space="preserve">: </w:t>
      </w:r>
      <w:r w:rsidR="0035088E" w:rsidRPr="009D6086">
        <w:rPr>
          <w:rFonts w:cs="Times New Roman"/>
          <w:b/>
          <w:color w:val="000000" w:themeColor="text1"/>
        </w:rPr>
        <w:t>Školy nemerajú úroveň FG a nepýtajú si spätnú väzbu od žiakov</w:t>
      </w:r>
      <w:r w:rsidR="0035088E" w:rsidRPr="009D6086">
        <w:rPr>
          <w:rFonts w:cs="Times New Roman"/>
          <w:color w:val="000000" w:themeColor="text1"/>
        </w:rPr>
        <w:t xml:space="preserve"> – školy tak nevedia inak ako na základe svojho vlastného vnímania zhodnotiť, aká úroveň FG žiakov je na ich škole. </w:t>
      </w:r>
    </w:p>
    <w:p w:rsidR="009D6086" w:rsidRPr="009D6086" w:rsidRDefault="009D6086" w:rsidP="009D6086">
      <w:pPr>
        <w:pStyle w:val="Odsekzoznamu"/>
        <w:ind w:left="1080"/>
        <w:jc w:val="both"/>
        <w:rPr>
          <w:rFonts w:cs="Times New Roman"/>
          <w:color w:val="000000" w:themeColor="text1"/>
        </w:rPr>
      </w:pPr>
    </w:p>
    <w:p w:rsidR="0035088E" w:rsidRDefault="003A4BE0" w:rsidP="001E0276">
      <w:pPr>
        <w:pStyle w:val="Odsekzoznamu"/>
        <w:numPr>
          <w:ilvl w:val="0"/>
          <w:numId w:val="3"/>
        </w:numPr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Nastaviť systém výuky finančnej gramotnosti tak, aby sa do neho zapojili všetky školy. </w:t>
      </w:r>
      <w:r w:rsidRPr="009D6086">
        <w:rPr>
          <w:rFonts w:cs="Times New Roman"/>
          <w:color w:val="000000" w:themeColor="text1"/>
          <w:u w:val="single"/>
        </w:rPr>
        <w:t>Vychádzalo sa zo zistenia</w:t>
      </w:r>
      <w:r w:rsidRPr="009D6086">
        <w:rPr>
          <w:rFonts w:cs="Times New Roman"/>
          <w:color w:val="000000" w:themeColor="text1"/>
        </w:rPr>
        <w:t xml:space="preserve">: </w:t>
      </w:r>
      <w:r w:rsidR="0035088E" w:rsidRPr="004301DB">
        <w:rPr>
          <w:rFonts w:cs="Times New Roman"/>
          <w:b/>
          <w:color w:val="000000" w:themeColor="text1"/>
        </w:rPr>
        <w:t>Niektoré školy sa FG vôbec nevenujú</w:t>
      </w:r>
      <w:r w:rsidR="0035088E">
        <w:rPr>
          <w:rFonts w:cs="Times New Roman"/>
          <w:color w:val="000000" w:themeColor="text1"/>
        </w:rPr>
        <w:t xml:space="preserve"> - vyjadrili sa tak dve</w:t>
      </w:r>
      <w:r w:rsidR="0035088E" w:rsidRPr="00A5012C">
        <w:rPr>
          <w:rFonts w:cs="Times New Roman"/>
          <w:color w:val="000000" w:themeColor="text1"/>
        </w:rPr>
        <w:t xml:space="preserve"> školy</w:t>
      </w:r>
      <w:r w:rsidR="0035088E">
        <w:rPr>
          <w:rFonts w:cs="Times New Roman"/>
          <w:color w:val="000000" w:themeColor="text1"/>
        </w:rPr>
        <w:t xml:space="preserve"> z jedenástich, pokiaľ by rovnako pristupovali školy k tejto téme na celom Slovensku, znamenalo by to, že takmer 20 % škôl sa finančnej gramotnosti nevenuje vôbec.</w:t>
      </w:r>
    </w:p>
    <w:p w:rsidR="003A4BE0" w:rsidRDefault="003A4BE0" w:rsidP="003A4BE0">
      <w:pPr>
        <w:pStyle w:val="Odsekzoznamu"/>
        <w:ind w:left="1080"/>
        <w:jc w:val="both"/>
        <w:rPr>
          <w:rFonts w:cs="Times New Roman"/>
          <w:color w:val="000000" w:themeColor="text1"/>
        </w:rPr>
      </w:pPr>
    </w:p>
    <w:p w:rsidR="003A4BE0" w:rsidRPr="003A4BE0" w:rsidRDefault="003A4BE0" w:rsidP="001E0276">
      <w:pPr>
        <w:pStyle w:val="Odsekzoznamu"/>
        <w:numPr>
          <w:ilvl w:val="0"/>
          <w:numId w:val="3"/>
        </w:numPr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lastRenderedPageBreak/>
        <w:t xml:space="preserve">Zvážiť, akým spôsobom by mohli byť do výuky finančnej gramotnosti zakomponovaní aj rodičia detí, </w:t>
      </w:r>
      <w:r w:rsidRPr="003A4BE0">
        <w:rPr>
          <w:rFonts w:cs="Times New Roman"/>
          <w:color w:val="000000" w:themeColor="text1"/>
        </w:rPr>
        <w:t xml:space="preserve">vhodné bude zrejme rodičov detí zapojiť na dobrovoľnej báze, </w:t>
      </w:r>
      <w:r>
        <w:rPr>
          <w:rFonts w:cs="Times New Roman"/>
          <w:color w:val="000000" w:themeColor="text1"/>
        </w:rPr>
        <w:t xml:space="preserve">priniesť však v rámci výučby aj tieto podnety a možnosti zapojenia sa rodičov detí. </w:t>
      </w:r>
    </w:p>
    <w:p w:rsidR="0035088E" w:rsidRPr="003A4BE0" w:rsidRDefault="003A4BE0" w:rsidP="003A4BE0">
      <w:pPr>
        <w:pStyle w:val="Odsekzoznamu"/>
        <w:ind w:left="1080"/>
        <w:jc w:val="both"/>
        <w:rPr>
          <w:rFonts w:cs="Times New Roman"/>
          <w:color w:val="000000" w:themeColor="text1"/>
        </w:rPr>
      </w:pPr>
      <w:r w:rsidRPr="009D6086">
        <w:rPr>
          <w:rFonts w:cs="Times New Roman"/>
          <w:color w:val="000000" w:themeColor="text1"/>
          <w:u w:val="single"/>
        </w:rPr>
        <w:t>Vychádzalo sa zo zistenia</w:t>
      </w:r>
      <w:r w:rsidRPr="009D6086">
        <w:rPr>
          <w:rFonts w:cs="Times New Roman"/>
          <w:color w:val="000000" w:themeColor="text1"/>
        </w:rPr>
        <w:t xml:space="preserve">: </w:t>
      </w:r>
      <w:r w:rsidR="0035088E" w:rsidRPr="003A4BE0">
        <w:rPr>
          <w:rFonts w:cs="Times New Roman"/>
          <w:b/>
          <w:color w:val="000000" w:themeColor="text1"/>
        </w:rPr>
        <w:t xml:space="preserve">Výuka FG má podľa učiteľov zmysel, pokiaľ sú do nej zapojení aj rodičia </w:t>
      </w:r>
      <w:r w:rsidR="0035088E" w:rsidRPr="003A4BE0">
        <w:rPr>
          <w:rFonts w:cs="Times New Roman"/>
          <w:color w:val="000000" w:themeColor="text1"/>
        </w:rPr>
        <w:t xml:space="preserve">– aktuálne systém výuky takto nastavený nie je. </w:t>
      </w:r>
    </w:p>
    <w:p w:rsidR="001E0276" w:rsidRPr="001E0276" w:rsidRDefault="001E0276" w:rsidP="001E0276">
      <w:pPr>
        <w:jc w:val="both"/>
        <w:rPr>
          <w:rFonts w:cs="Times New Roman"/>
          <w:color w:val="000000" w:themeColor="text1"/>
        </w:rPr>
      </w:pPr>
    </w:p>
    <w:p w:rsidR="001E0276" w:rsidRDefault="001E0276" w:rsidP="001E0276">
      <w:pPr>
        <w:jc w:val="both"/>
      </w:pPr>
    </w:p>
    <w:p w:rsidR="001E0276" w:rsidRDefault="001E0276" w:rsidP="001E0276">
      <w:pPr>
        <w:jc w:val="both"/>
      </w:pPr>
    </w:p>
    <w:p w:rsidR="00B575A5" w:rsidRDefault="001E0276" w:rsidP="001E0276">
      <w:pPr>
        <w:jc w:val="both"/>
      </w:pPr>
      <w:r>
        <w:t xml:space="preserve">Príloha: </w:t>
      </w:r>
      <w:r>
        <w:rPr>
          <w:rFonts w:cs="Times New Roman"/>
          <w:color w:val="000000" w:themeColor="text1"/>
        </w:rPr>
        <w:t>Analýza výuky finančnej gramotnosti na štátnych základných školách s podielom marginalizovaných rómskych komunít v rámci POSK</w:t>
      </w:r>
      <w:r w:rsidR="00A16E79">
        <w:rPr>
          <w:rFonts w:cs="Times New Roman"/>
          <w:color w:val="000000" w:themeColor="text1"/>
        </w:rPr>
        <w:t xml:space="preserve"> a jej porovnanie s Národným štandardom finančnej gramotnosti. </w:t>
      </w:r>
    </w:p>
    <w:p w:rsidR="005119FD" w:rsidRDefault="005119FD" w:rsidP="00B575A5">
      <w:pPr>
        <w:jc w:val="both"/>
      </w:pPr>
    </w:p>
    <w:p w:rsidR="00B575A5" w:rsidRDefault="00B575A5" w:rsidP="00B575A5">
      <w:pPr>
        <w:jc w:val="both"/>
      </w:pPr>
    </w:p>
    <w:p w:rsidR="00663A32" w:rsidRDefault="00663A32" w:rsidP="00B575A5">
      <w:pPr>
        <w:jc w:val="both"/>
      </w:pPr>
      <w:r>
        <w:t>Návrh s</w:t>
      </w:r>
      <w:r w:rsidR="00862C63">
        <w:t xml:space="preserve">pracovala: </w:t>
      </w:r>
      <w:r w:rsidR="00B575A5">
        <w:t>JUDr. Martina Stašíková</w:t>
      </w:r>
      <w:r w:rsidR="00862C63">
        <w:t xml:space="preserve">, </w:t>
      </w:r>
    </w:p>
    <w:p w:rsidR="00B575A5" w:rsidRDefault="00B575A5" w:rsidP="00B575A5">
      <w:pPr>
        <w:jc w:val="both"/>
      </w:pPr>
      <w:r>
        <w:t>Koordinátorka finančnej gramotnosti</w:t>
      </w:r>
    </w:p>
    <w:p w:rsidR="00944E02" w:rsidRPr="00842E7E" w:rsidRDefault="00944E02" w:rsidP="00842E7E">
      <w:pPr>
        <w:jc w:val="both"/>
      </w:pPr>
    </w:p>
    <w:p w:rsidR="00842E7E" w:rsidRDefault="00842E7E"/>
    <w:p w:rsidR="00EA46B9" w:rsidRDefault="00EA46B9"/>
    <w:p w:rsidR="00EA46B9" w:rsidRDefault="00EA46B9"/>
    <w:p w:rsidR="00EA46B9" w:rsidRDefault="00EA46B9"/>
    <w:p w:rsidR="00EA46B9" w:rsidRDefault="00EA46B9"/>
    <w:p w:rsidR="00EA46B9" w:rsidRDefault="00EA46B9"/>
    <w:p w:rsidR="00EA46B9" w:rsidRDefault="00EA46B9"/>
    <w:p w:rsidR="00EA46B9" w:rsidRDefault="00EA46B9"/>
    <w:p w:rsidR="00EA46B9" w:rsidRDefault="00EA46B9"/>
    <w:p w:rsidR="00EA46B9" w:rsidRDefault="00EA46B9"/>
    <w:p w:rsidR="00EA46B9" w:rsidRDefault="00EA46B9"/>
    <w:p w:rsidR="00EA46B9" w:rsidRDefault="00EA46B9"/>
    <w:p w:rsidR="00EA46B9" w:rsidRDefault="00EA46B9"/>
    <w:p w:rsidR="00EA46B9" w:rsidRPr="00EA46B9" w:rsidRDefault="00EA46B9">
      <w:pPr>
        <w:rPr>
          <w:sz w:val="24"/>
          <w:szCs w:val="24"/>
        </w:rPr>
      </w:pPr>
      <w:r w:rsidRPr="00DD0B98">
        <w:rPr>
          <w:sz w:val="24"/>
          <w:szCs w:val="24"/>
        </w:rPr>
        <w:t>Tento projekt je podporený z Európskeho sociálneho fondu z Operačného programu Efektívna verejná správa.</w:t>
      </w:r>
      <w:bookmarkStart w:id="0" w:name="_GoBack"/>
      <w:bookmarkEnd w:id="0"/>
    </w:p>
    <w:sectPr w:rsidR="00EA46B9" w:rsidRPr="00EA46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8D" w:rsidRDefault="0019148D" w:rsidP="004B2142">
      <w:pPr>
        <w:spacing w:after="0" w:line="240" w:lineRule="auto"/>
      </w:pPr>
      <w:r>
        <w:separator/>
      </w:r>
    </w:p>
  </w:endnote>
  <w:endnote w:type="continuationSeparator" w:id="0">
    <w:p w:rsidR="0019148D" w:rsidRDefault="0019148D" w:rsidP="004B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8D" w:rsidRDefault="0019148D" w:rsidP="004B2142">
      <w:pPr>
        <w:spacing w:after="0" w:line="240" w:lineRule="auto"/>
      </w:pPr>
      <w:r>
        <w:separator/>
      </w:r>
    </w:p>
  </w:footnote>
  <w:footnote w:type="continuationSeparator" w:id="0">
    <w:p w:rsidR="0019148D" w:rsidRDefault="0019148D" w:rsidP="004B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02A" w:rsidRDefault="002C302A" w:rsidP="004B214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22242EE" wp14:editId="776E55C3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2076450" cy="571076"/>
          <wp:effectExtent l="0" t="0" r="0" b="63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1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2E8DC6D" wp14:editId="6A5D4864">
          <wp:simplePos x="0" y="0"/>
          <wp:positionH relativeFrom="margin">
            <wp:posOffset>3843655</wp:posOffset>
          </wp:positionH>
          <wp:positionV relativeFrom="paragraph">
            <wp:posOffset>-107315</wp:posOffset>
          </wp:positionV>
          <wp:extent cx="2219325" cy="552826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52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668D740" wp14:editId="0F169E00">
          <wp:simplePos x="0" y="0"/>
          <wp:positionH relativeFrom="column">
            <wp:posOffset>519431</wp:posOffset>
          </wp:positionH>
          <wp:positionV relativeFrom="paragraph">
            <wp:posOffset>-135254</wp:posOffset>
          </wp:positionV>
          <wp:extent cx="1085850" cy="10858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  <w:p w:rsidR="002C302A" w:rsidRDefault="002C302A" w:rsidP="004B2142">
    <w:pPr>
      <w:pStyle w:val="Hlavika"/>
    </w:pPr>
  </w:p>
  <w:p w:rsidR="002C302A" w:rsidRDefault="002C302A" w:rsidP="004B2142">
    <w:pPr>
      <w:pStyle w:val="Hlavika"/>
    </w:pPr>
  </w:p>
  <w:p w:rsidR="002C302A" w:rsidRDefault="002C302A" w:rsidP="004B2142">
    <w:pPr>
      <w:pStyle w:val="Hlavika"/>
    </w:pPr>
  </w:p>
  <w:p w:rsidR="002C302A" w:rsidRDefault="002C302A" w:rsidP="004B2142">
    <w:pPr>
      <w:pStyle w:val="Hlavika"/>
    </w:pPr>
  </w:p>
  <w:p w:rsidR="004B2142" w:rsidRPr="004B2142" w:rsidRDefault="004B2142" w:rsidP="004B21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928E7"/>
    <w:multiLevelType w:val="hybridMultilevel"/>
    <w:tmpl w:val="04E4D8EA"/>
    <w:lvl w:ilvl="0" w:tplc="F2D68C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05334"/>
    <w:multiLevelType w:val="hybridMultilevel"/>
    <w:tmpl w:val="1D5A842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CA266A"/>
    <w:multiLevelType w:val="hybridMultilevel"/>
    <w:tmpl w:val="B4C0C02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91"/>
    <w:rsid w:val="0006662E"/>
    <w:rsid w:val="00114093"/>
    <w:rsid w:val="0019148D"/>
    <w:rsid w:val="001E0276"/>
    <w:rsid w:val="00205346"/>
    <w:rsid w:val="002561D7"/>
    <w:rsid w:val="00283F2D"/>
    <w:rsid w:val="002A67C1"/>
    <w:rsid w:val="002C302A"/>
    <w:rsid w:val="002E214C"/>
    <w:rsid w:val="002F423D"/>
    <w:rsid w:val="0035088E"/>
    <w:rsid w:val="00355944"/>
    <w:rsid w:val="003A4BE0"/>
    <w:rsid w:val="003B09BE"/>
    <w:rsid w:val="003B3445"/>
    <w:rsid w:val="00414056"/>
    <w:rsid w:val="00446CFB"/>
    <w:rsid w:val="00451786"/>
    <w:rsid w:val="004974A8"/>
    <w:rsid w:val="004B2142"/>
    <w:rsid w:val="004F6362"/>
    <w:rsid w:val="005119FD"/>
    <w:rsid w:val="00531C1F"/>
    <w:rsid w:val="005A22E3"/>
    <w:rsid w:val="005A47FD"/>
    <w:rsid w:val="00637CBE"/>
    <w:rsid w:val="00663A32"/>
    <w:rsid w:val="00842E7E"/>
    <w:rsid w:val="008437D5"/>
    <w:rsid w:val="0085711F"/>
    <w:rsid w:val="00862205"/>
    <w:rsid w:val="00862C63"/>
    <w:rsid w:val="00862CAB"/>
    <w:rsid w:val="008B2870"/>
    <w:rsid w:val="008C3CEA"/>
    <w:rsid w:val="00914C89"/>
    <w:rsid w:val="00944E02"/>
    <w:rsid w:val="009A3E1A"/>
    <w:rsid w:val="009D16BE"/>
    <w:rsid w:val="009D6086"/>
    <w:rsid w:val="009E1CD5"/>
    <w:rsid w:val="00A12F1E"/>
    <w:rsid w:val="00A16E79"/>
    <w:rsid w:val="00A26D5F"/>
    <w:rsid w:val="00B3017E"/>
    <w:rsid w:val="00B575A5"/>
    <w:rsid w:val="00B80B2C"/>
    <w:rsid w:val="00B830C7"/>
    <w:rsid w:val="00BA6092"/>
    <w:rsid w:val="00C3437A"/>
    <w:rsid w:val="00C80496"/>
    <w:rsid w:val="00C8051A"/>
    <w:rsid w:val="00CC7329"/>
    <w:rsid w:val="00D6154B"/>
    <w:rsid w:val="00D72F16"/>
    <w:rsid w:val="00D7423B"/>
    <w:rsid w:val="00D87100"/>
    <w:rsid w:val="00EA46B9"/>
    <w:rsid w:val="00ED64B7"/>
    <w:rsid w:val="00EF758C"/>
    <w:rsid w:val="00F01252"/>
    <w:rsid w:val="00F94BFA"/>
    <w:rsid w:val="00FB178B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53A3"/>
  <w15:chartTrackingRefBased/>
  <w15:docId w15:val="{A8878D94-0312-4759-BDF4-8A9B387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26D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2142"/>
  </w:style>
  <w:style w:type="paragraph" w:styleId="Pta">
    <w:name w:val="footer"/>
    <w:basedOn w:val="Normlny"/>
    <w:link w:val="PtaChar"/>
    <w:uiPriority w:val="99"/>
    <w:unhideWhenUsed/>
    <w:rsid w:val="004B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2142"/>
  </w:style>
  <w:style w:type="table" w:styleId="Tabukasmriekou5tmavzvraznenie5">
    <w:name w:val="Grid Table 5 Dark Accent 5"/>
    <w:basedOn w:val="Normlnatabuka"/>
    <w:uiPriority w:val="50"/>
    <w:rsid w:val="002C30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ukasmriekou7farebn">
    <w:name w:val="Grid Table 7 Colorful"/>
    <w:basedOn w:val="Normlnatabuka"/>
    <w:uiPriority w:val="52"/>
    <w:rsid w:val="002C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5tmav">
    <w:name w:val="Grid Table 5 Dark"/>
    <w:basedOn w:val="Normlnatabuka"/>
    <w:uiPriority w:val="50"/>
    <w:rsid w:val="002C30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2C30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2C30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446C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character" w:styleId="Hypertextovprepojenie">
    <w:name w:val="Hyperlink"/>
    <w:basedOn w:val="Predvolenpsmoodseku"/>
    <w:uiPriority w:val="99"/>
    <w:unhideWhenUsed/>
    <w:rsid w:val="00862C63"/>
    <w:rPr>
      <w:color w:val="6B9F25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2C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2C6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2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Modro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721F8F6F5794C8E80D7AD272FC1C1" ma:contentTypeVersion="7" ma:contentTypeDescription="Umožňuje vytvoriť nový dokument." ma:contentTypeScope="" ma:versionID="eda14ce582090237b4e42631ffe40942">
  <xsd:schema xmlns:xsd="http://www.w3.org/2001/XMLSchema" xmlns:xs="http://www.w3.org/2001/XMLSchema" xmlns:p="http://schemas.microsoft.com/office/2006/metadata/properties" xmlns:ns2="cf59bbf2-1680-4b68-a6c9-93f210107742" targetNamespace="http://schemas.microsoft.com/office/2006/metadata/properties" ma:root="true" ma:fieldsID="a741b6ed5af1328838fe0162f096dfbc" ns2:_="">
    <xsd:import namespace="cf59bbf2-1680-4b68-a6c9-93f210107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bbf2-1680-4b68-a6c9-93f210107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0F281-8745-48FC-BDE9-EE5FC91DF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522AC-9C0D-4A4D-8C80-7AFA219C3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1147F-D48C-491A-8BB0-F0EF36916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bbf2-1680-4b68-a6c9-93f210107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Stašíková</dc:creator>
  <cp:keywords/>
  <dc:description/>
  <cp:lastModifiedBy>Peter Adam</cp:lastModifiedBy>
  <cp:revision>24</cp:revision>
  <dcterms:created xsi:type="dcterms:W3CDTF">2019-07-23T14:28:00Z</dcterms:created>
  <dcterms:modified xsi:type="dcterms:W3CDTF">2021-01-05T11:42:00Z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0x01010088C721F8F6F5794C8E80D7AD272FC1C1</vt:lpwstr>
  </property>
</Properties>
</file>