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ukasmriekou5tmavzvraznenie4"/>
        <w:tblpPr w:leftFromText="141" w:rightFromText="141" w:vertAnchor="text" w:horzAnchor="margin" w:tblpY="-92"/>
        <w:tblW w:w="0" w:type="auto"/>
        <w:tblLook w:val="04A0" w:firstRow="1" w:lastRow="0" w:firstColumn="1" w:lastColumn="0" w:noHBand="0" w:noVBand="1"/>
      </w:tblPr>
      <w:tblGrid>
        <w:gridCol w:w="2263"/>
        <w:gridCol w:w="6799"/>
      </w:tblGrid>
      <w:tr w:rsidR="00BB720F" w14:paraId="657C1678" w14:textId="77777777" w:rsidTr="00BB7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774DDB" w14:textId="77777777" w:rsidR="00BB720F" w:rsidRPr="002C302A" w:rsidRDefault="00BB720F" w:rsidP="00BB720F">
            <w:pPr>
              <w:rPr>
                <w:b w:val="0"/>
              </w:rPr>
            </w:pPr>
            <w:r w:rsidRPr="002C302A">
              <w:rPr>
                <w:b w:val="0"/>
              </w:rPr>
              <w:t>Projekt:</w:t>
            </w:r>
          </w:p>
        </w:tc>
        <w:tc>
          <w:tcPr>
            <w:tcW w:w="6799" w:type="dxa"/>
          </w:tcPr>
          <w:p w14:paraId="7DF2C4FD" w14:textId="77777777" w:rsidR="00BB720F" w:rsidRDefault="00BB720F" w:rsidP="00BB720F">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BB720F" w14:paraId="14E5EF61" w14:textId="77777777" w:rsidTr="00BB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476DD79" w14:textId="77777777" w:rsidR="00BB720F" w:rsidRPr="002C302A" w:rsidRDefault="00BB720F" w:rsidP="00BB720F">
            <w:pPr>
              <w:rPr>
                <w:b w:val="0"/>
              </w:rPr>
            </w:pPr>
            <w:r w:rsidRPr="002C302A">
              <w:rPr>
                <w:b w:val="0"/>
              </w:rPr>
              <w:t>Organizácia:</w:t>
            </w:r>
          </w:p>
        </w:tc>
        <w:tc>
          <w:tcPr>
            <w:tcW w:w="6799" w:type="dxa"/>
          </w:tcPr>
          <w:p w14:paraId="3F1B49AB" w14:textId="77777777" w:rsidR="00BB720F" w:rsidRDefault="00BB720F" w:rsidP="00BB720F">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BB720F" w14:paraId="6C9C3C3A" w14:textId="77777777" w:rsidTr="00BB720F">
        <w:tc>
          <w:tcPr>
            <w:cnfStyle w:val="001000000000" w:firstRow="0" w:lastRow="0" w:firstColumn="1" w:lastColumn="0" w:oddVBand="0" w:evenVBand="0" w:oddHBand="0" w:evenHBand="0" w:firstRowFirstColumn="0" w:firstRowLastColumn="0" w:lastRowFirstColumn="0" w:lastRowLastColumn="0"/>
            <w:tcW w:w="2263" w:type="dxa"/>
          </w:tcPr>
          <w:p w14:paraId="541D0FF0" w14:textId="77777777" w:rsidR="00BB720F" w:rsidRPr="002C302A" w:rsidRDefault="00BB720F" w:rsidP="00BB720F">
            <w:pPr>
              <w:rPr>
                <w:b w:val="0"/>
              </w:rPr>
            </w:pPr>
            <w:r w:rsidRPr="002C302A">
              <w:rPr>
                <w:b w:val="0"/>
              </w:rPr>
              <w:t>Operačný program:</w:t>
            </w:r>
          </w:p>
        </w:tc>
        <w:tc>
          <w:tcPr>
            <w:tcW w:w="6799" w:type="dxa"/>
          </w:tcPr>
          <w:p w14:paraId="79F950C3" w14:textId="77777777" w:rsidR="00BB720F" w:rsidRDefault="00BB720F" w:rsidP="00BB720F">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BB720F" w14:paraId="12658E04" w14:textId="77777777" w:rsidTr="00BB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BF72C8" w14:textId="77777777" w:rsidR="00BB720F" w:rsidRPr="002C302A" w:rsidRDefault="00BB720F" w:rsidP="00BB720F">
            <w:pPr>
              <w:rPr>
                <w:b w:val="0"/>
              </w:rPr>
            </w:pPr>
            <w:r w:rsidRPr="002C302A">
              <w:rPr>
                <w:b w:val="0"/>
              </w:rPr>
              <w:t>Kód žiadosti o NFP:</w:t>
            </w:r>
          </w:p>
        </w:tc>
        <w:tc>
          <w:tcPr>
            <w:tcW w:w="6799" w:type="dxa"/>
          </w:tcPr>
          <w:p w14:paraId="0BA34A49" w14:textId="77777777" w:rsidR="00BB720F" w:rsidRDefault="00BB720F" w:rsidP="00BB720F">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BB720F" w14:paraId="48EA9747" w14:textId="77777777" w:rsidTr="00BB720F">
        <w:tc>
          <w:tcPr>
            <w:cnfStyle w:val="001000000000" w:firstRow="0" w:lastRow="0" w:firstColumn="1" w:lastColumn="0" w:oddVBand="0" w:evenVBand="0" w:oddHBand="0" w:evenHBand="0" w:firstRowFirstColumn="0" w:firstRowLastColumn="0" w:lastRowFirstColumn="0" w:lastRowLastColumn="0"/>
            <w:tcW w:w="2263" w:type="dxa"/>
          </w:tcPr>
          <w:p w14:paraId="5D05EB78" w14:textId="77777777" w:rsidR="00BB720F" w:rsidRPr="002C302A" w:rsidRDefault="00BB720F" w:rsidP="00BB720F">
            <w:pPr>
              <w:rPr>
                <w:b w:val="0"/>
              </w:rPr>
            </w:pPr>
            <w:r w:rsidRPr="002C302A">
              <w:rPr>
                <w:b w:val="0"/>
              </w:rPr>
              <w:t>Názov aktivity:</w:t>
            </w:r>
          </w:p>
        </w:tc>
        <w:tc>
          <w:tcPr>
            <w:tcW w:w="6799" w:type="dxa"/>
          </w:tcPr>
          <w:p w14:paraId="47274764" w14:textId="77777777" w:rsidR="00BB720F" w:rsidRDefault="00BB720F" w:rsidP="00BB720F">
            <w:pPr>
              <w:jc w:val="both"/>
              <w:cnfStyle w:val="000000000000" w:firstRow="0" w:lastRow="0" w:firstColumn="0" w:lastColumn="0" w:oddVBand="0" w:evenVBand="0" w:oddHBand="0" w:evenHBand="0" w:firstRowFirstColumn="0" w:firstRowLastColumn="0" w:lastRowFirstColumn="0" w:lastRowLastColumn="0"/>
            </w:pPr>
            <w:r>
              <w:t xml:space="preserve">Hlavná aktivita č. 2, </w:t>
            </w:r>
            <w:r w:rsidRPr="004B7202">
              <w:t>Skvalitňovanie aktívnych politík trhu práce pre MRK</w:t>
            </w:r>
          </w:p>
        </w:tc>
      </w:tr>
      <w:tr w:rsidR="00BB720F" w14:paraId="37C39EAD" w14:textId="77777777" w:rsidTr="00BB7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BA515D" w14:textId="77777777" w:rsidR="00BB720F" w:rsidRPr="002C302A" w:rsidRDefault="00BB720F" w:rsidP="00BB720F">
            <w:pPr>
              <w:rPr>
                <w:b w:val="0"/>
              </w:rPr>
            </w:pPr>
            <w:r w:rsidRPr="002C302A">
              <w:rPr>
                <w:b w:val="0"/>
              </w:rPr>
              <w:t>Názov výstupu:</w:t>
            </w:r>
          </w:p>
        </w:tc>
        <w:tc>
          <w:tcPr>
            <w:tcW w:w="6799" w:type="dxa"/>
          </w:tcPr>
          <w:p w14:paraId="08D03D12" w14:textId="0BCADEF8" w:rsidR="00BB720F" w:rsidRDefault="00BB720F" w:rsidP="00BB720F">
            <w:pPr>
              <w:jc w:val="both"/>
              <w:cnfStyle w:val="000000100000" w:firstRow="0" w:lastRow="0" w:firstColumn="0" w:lastColumn="0" w:oddVBand="0" w:evenVBand="0" w:oddHBand="1" w:evenHBand="0" w:firstRowFirstColumn="0" w:firstRowLastColumn="0" w:lastRowFirstColumn="0" w:lastRowLastColumn="0"/>
            </w:pPr>
            <w:r w:rsidRPr="00FA02D6">
              <w:t>Návrhy na legislatívne zmeny za účelom zefektívnenia VS</w:t>
            </w:r>
          </w:p>
        </w:tc>
      </w:tr>
      <w:tr w:rsidR="00BB720F" w14:paraId="7653A10E" w14:textId="77777777" w:rsidTr="00BB720F">
        <w:tc>
          <w:tcPr>
            <w:cnfStyle w:val="001000000000" w:firstRow="0" w:lastRow="0" w:firstColumn="1" w:lastColumn="0" w:oddVBand="0" w:evenVBand="0" w:oddHBand="0" w:evenHBand="0" w:firstRowFirstColumn="0" w:firstRowLastColumn="0" w:lastRowFirstColumn="0" w:lastRowLastColumn="0"/>
            <w:tcW w:w="2263" w:type="dxa"/>
          </w:tcPr>
          <w:p w14:paraId="66AB2318" w14:textId="0E1E188C" w:rsidR="00BB720F" w:rsidRPr="002C302A" w:rsidRDefault="00BB720F" w:rsidP="00BB720F">
            <w:pPr>
              <w:rPr>
                <w:b w:val="0"/>
              </w:rPr>
            </w:pPr>
            <w:r w:rsidRPr="002C302A">
              <w:rPr>
                <w:b w:val="0"/>
              </w:rPr>
              <w:t xml:space="preserve">Názov </w:t>
            </w:r>
            <w:r>
              <w:rPr>
                <w:b w:val="0"/>
              </w:rPr>
              <w:t>legislatívneho opatrenia</w:t>
            </w:r>
            <w:r w:rsidRPr="002C302A">
              <w:rPr>
                <w:b w:val="0"/>
              </w:rPr>
              <w:t>:</w:t>
            </w:r>
          </w:p>
        </w:tc>
        <w:tc>
          <w:tcPr>
            <w:tcW w:w="6799" w:type="dxa"/>
          </w:tcPr>
          <w:p w14:paraId="4E6E3E2A" w14:textId="2C829768" w:rsidR="00BB720F" w:rsidRDefault="00BB720F" w:rsidP="00BB720F">
            <w:pPr>
              <w:jc w:val="both"/>
              <w:cnfStyle w:val="000000000000" w:firstRow="0" w:lastRow="0" w:firstColumn="0" w:lastColumn="0" w:oddVBand="0" w:evenVBand="0" w:oddHBand="0" w:evenHBand="0" w:firstRowFirstColumn="0" w:firstRowLastColumn="0" w:lastRowFirstColumn="0" w:lastRowLastColumn="0"/>
            </w:pPr>
            <w:r>
              <w:t>Rozšírenie zoznamu „poistencov štátu“ vo verejnom zdravotnom poistení, tak aby povinnosť voči zdravotnému poisteniu nebola prekážkou v doplnení si formálneho vzdelania</w:t>
            </w:r>
          </w:p>
        </w:tc>
      </w:tr>
      <w:tr w:rsidR="00BB720F" w14:paraId="7B241FEA" w14:textId="77777777" w:rsidTr="00BB720F">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263" w:type="dxa"/>
          </w:tcPr>
          <w:p w14:paraId="01568116" w14:textId="77777777" w:rsidR="00BB720F" w:rsidRPr="002C302A" w:rsidRDefault="00BB720F" w:rsidP="00BB720F">
            <w:pPr>
              <w:rPr>
                <w:b w:val="0"/>
              </w:rPr>
            </w:pPr>
            <w:r w:rsidRPr="002C302A">
              <w:rPr>
                <w:b w:val="0"/>
              </w:rPr>
              <w:t>Subjekt, ktorému sa návrh opatrenia predkladá:</w:t>
            </w:r>
          </w:p>
        </w:tc>
        <w:tc>
          <w:tcPr>
            <w:tcW w:w="6799" w:type="dxa"/>
          </w:tcPr>
          <w:p w14:paraId="6EA2EB27" w14:textId="231F54C0" w:rsidR="00BB720F" w:rsidRDefault="00BB720F" w:rsidP="00BB720F">
            <w:pPr>
              <w:cnfStyle w:val="000000100000" w:firstRow="0" w:lastRow="0" w:firstColumn="0" w:lastColumn="0" w:oddVBand="0" w:evenVBand="0" w:oddHBand="1" w:evenHBand="0" w:firstRowFirstColumn="0" w:firstRowLastColumn="0" w:lastRowFirstColumn="0" w:lastRowLastColumn="0"/>
            </w:pPr>
            <w:r w:rsidRPr="00BD0350">
              <w:t xml:space="preserve">Ministerstvo </w:t>
            </w:r>
            <w:r>
              <w:t>zdravotníctva SR</w:t>
            </w:r>
          </w:p>
        </w:tc>
      </w:tr>
    </w:tbl>
    <w:p w14:paraId="0D043B30" w14:textId="77777777" w:rsidR="00193DD0" w:rsidRPr="00BB720F" w:rsidRDefault="00193DD0" w:rsidP="00193DD0">
      <w:pPr>
        <w:rPr>
          <w:b/>
          <w:sz w:val="24"/>
          <w:szCs w:val="24"/>
        </w:rPr>
      </w:pPr>
    </w:p>
    <w:p w14:paraId="64BB8143" w14:textId="77777777" w:rsidR="004541A4" w:rsidRPr="004541A4" w:rsidRDefault="004541A4" w:rsidP="004541A4">
      <w:pPr>
        <w:jc w:val="both"/>
        <w:rPr>
          <w:b/>
          <w:sz w:val="24"/>
        </w:rPr>
      </w:pPr>
      <w:r w:rsidRPr="004541A4">
        <w:rPr>
          <w:b/>
          <w:sz w:val="24"/>
        </w:rPr>
        <w:t>Úvod</w:t>
      </w:r>
    </w:p>
    <w:p w14:paraId="085ACC6C" w14:textId="77777777" w:rsidR="004541A4" w:rsidRPr="004541A4" w:rsidRDefault="004541A4" w:rsidP="004541A4">
      <w:pPr>
        <w:jc w:val="both"/>
        <w:rPr>
          <w:sz w:val="24"/>
        </w:rPr>
      </w:pPr>
      <w:r w:rsidRPr="004541A4">
        <w:rPr>
          <w:sz w:val="24"/>
        </w:rPr>
        <w:t xml:space="preserve">Zákon 580/2004 </w:t>
      </w:r>
      <w:proofErr w:type="spellStart"/>
      <w:r w:rsidRPr="004541A4">
        <w:rPr>
          <w:sz w:val="24"/>
        </w:rPr>
        <w:t>Z.z</w:t>
      </w:r>
      <w:proofErr w:type="spellEnd"/>
      <w:r w:rsidRPr="004541A4">
        <w:rPr>
          <w:sz w:val="24"/>
        </w:rPr>
        <w:t>. o zdravotnom poistení v § 11 ods.7 vymenováva osoby, ktorých verejné zdravotné poistenie je platené štátom. V zmysle uvedeného predpisu je platiteľov zdravotného poistenia štát aj v prípade študentov. Avšak iba v prípade, ak ide o študentov denného štúdia mladších ako 30 rokov.</w:t>
      </w:r>
    </w:p>
    <w:p w14:paraId="1E60FFFC" w14:textId="77777777" w:rsidR="004541A4" w:rsidRPr="004541A4" w:rsidRDefault="004541A4" w:rsidP="004541A4">
      <w:pPr>
        <w:jc w:val="both"/>
        <w:rPr>
          <w:sz w:val="24"/>
        </w:rPr>
      </w:pPr>
      <w:r w:rsidRPr="004541A4">
        <w:rPr>
          <w:sz w:val="24"/>
        </w:rPr>
        <w:t>Štát je platiteľom verejného zdravotného poistenia i v prípade osôb, ktoré sú vedené v evidencii uchádzačov o zamestnanie.</w:t>
      </w:r>
    </w:p>
    <w:p w14:paraId="0A493B98" w14:textId="77777777" w:rsidR="004541A4" w:rsidRPr="004541A4" w:rsidRDefault="004541A4" w:rsidP="004541A4">
      <w:pPr>
        <w:jc w:val="both"/>
        <w:rPr>
          <w:sz w:val="24"/>
        </w:rPr>
      </w:pPr>
      <w:r w:rsidRPr="004541A4">
        <w:rPr>
          <w:sz w:val="24"/>
        </w:rPr>
        <w:t xml:space="preserve">V zmysle zákona 5/2004 </w:t>
      </w:r>
      <w:proofErr w:type="spellStart"/>
      <w:r w:rsidRPr="004541A4">
        <w:rPr>
          <w:sz w:val="24"/>
        </w:rPr>
        <w:t>Z.z</w:t>
      </w:r>
      <w:proofErr w:type="spellEnd"/>
      <w:r w:rsidRPr="004541A4">
        <w:rPr>
          <w:sz w:val="24"/>
        </w:rPr>
        <w:t>. o službách zamestnanosti, §36, ods. 1 pís. d.) uchádzač o zamestnanie je z registra vyradený dňom “nástupu na sústavnú prípravu na povolanie”. Na základe písomného vyjadrenia ÚPSVaR za všeobecne zaužívaný výklad zákona “sústavnej prípravy na povolanie” sa považuje akákoľvek denná forma štúdia.</w:t>
      </w:r>
    </w:p>
    <w:p w14:paraId="367FEFEA" w14:textId="77777777" w:rsidR="004541A4" w:rsidRPr="004541A4" w:rsidRDefault="004541A4" w:rsidP="004541A4">
      <w:pPr>
        <w:jc w:val="both"/>
        <w:rPr>
          <w:sz w:val="24"/>
        </w:rPr>
      </w:pPr>
    </w:p>
    <w:p w14:paraId="6523B89A" w14:textId="77777777" w:rsidR="004541A4" w:rsidRPr="004541A4" w:rsidRDefault="004541A4" w:rsidP="004541A4">
      <w:pPr>
        <w:jc w:val="both"/>
        <w:rPr>
          <w:b/>
          <w:sz w:val="24"/>
        </w:rPr>
      </w:pPr>
      <w:r w:rsidRPr="004541A4">
        <w:rPr>
          <w:b/>
          <w:sz w:val="24"/>
        </w:rPr>
        <w:t>Identifikácia problému</w:t>
      </w:r>
    </w:p>
    <w:p w14:paraId="266DC88F" w14:textId="77777777" w:rsidR="004541A4" w:rsidRPr="004541A4" w:rsidRDefault="004541A4" w:rsidP="004541A4">
      <w:pPr>
        <w:jc w:val="both"/>
        <w:rPr>
          <w:sz w:val="24"/>
        </w:rPr>
      </w:pPr>
      <w:r w:rsidRPr="004541A4">
        <w:rPr>
          <w:sz w:val="24"/>
        </w:rPr>
        <w:t>Nedokončené základné alebo stredné vzdelanie je v prostredí MRK jednou z najčastejších prekážok vstupu na trh práce. Ambíciou viacerých mimovládnych organizácií ako aj strategických dokumentov</w:t>
      </w:r>
      <w:r w:rsidRPr="004541A4">
        <w:rPr>
          <w:rStyle w:val="Odkaznapoznmkupodiarou"/>
          <w:sz w:val="24"/>
        </w:rPr>
        <w:footnoteReference w:id="1"/>
      </w:r>
      <w:r w:rsidRPr="004541A4">
        <w:rPr>
          <w:sz w:val="24"/>
        </w:rPr>
        <w:t xml:space="preserve"> je zvýšenie počtu ľudí z MRK s ukončeným nižším stredným a úplným stredným vzdelaním. Napriek záväzku, vyplývajúcemu so Stratégie SR pre integráciu Rómov do roku 2020, sa dostupnosť </w:t>
      </w:r>
      <w:proofErr w:type="spellStart"/>
      <w:r w:rsidRPr="004541A4">
        <w:rPr>
          <w:sz w:val="24"/>
        </w:rPr>
        <w:t>druhošancového</w:t>
      </w:r>
      <w:proofErr w:type="spellEnd"/>
      <w:r w:rsidRPr="004541A4">
        <w:rPr>
          <w:sz w:val="24"/>
        </w:rPr>
        <w:t xml:space="preserve"> vzdelávania doposiaľ nepodarilo zásadne zlepšiť a jednotlivci, </w:t>
      </w:r>
      <w:r w:rsidRPr="004541A4">
        <w:rPr>
          <w:sz w:val="24"/>
        </w:rPr>
        <w:lastRenderedPageBreak/>
        <w:t>ktorí sa rozhodli si vzdelanie doplniť (v zmysle ukončenia formálneho vzdelania na úrovni nižšieho alebo úplného stredného vzdelania) konajú skôr individuálne a bez pomoci zodpovedných orgánov.</w:t>
      </w:r>
    </w:p>
    <w:p w14:paraId="5CB3DCE8" w14:textId="77777777" w:rsidR="004541A4" w:rsidRPr="004541A4" w:rsidRDefault="004541A4" w:rsidP="004541A4">
      <w:pPr>
        <w:jc w:val="both"/>
        <w:rPr>
          <w:sz w:val="24"/>
        </w:rPr>
      </w:pPr>
      <w:r w:rsidRPr="004541A4">
        <w:rPr>
          <w:sz w:val="24"/>
        </w:rPr>
        <w:t>Napriek tomu, že nepoznáme presné čísla, na základe poznania terénu v prostredí MRK, je možné tvrdiť, že ľudia, ktorí si dopĺňajú vzdelanie (ukončujú základné alebo stredné vzdelanie), sú jednotlivci, ktorých rodiny nemajú zdroje potrebné na podporu ich štúdia. Časť jednotlivcov si vzdelanie dopĺňa popri zamestnaní, časť na doplnenie vzdelanie využíva obdobie, kedy sú nezamestnaní.</w:t>
      </w:r>
    </w:p>
    <w:p w14:paraId="7B2E8AA4" w14:textId="77777777" w:rsidR="004541A4" w:rsidRPr="004541A4" w:rsidRDefault="004541A4" w:rsidP="004541A4">
      <w:pPr>
        <w:jc w:val="both"/>
        <w:rPr>
          <w:sz w:val="24"/>
        </w:rPr>
      </w:pPr>
      <w:r w:rsidRPr="004541A4">
        <w:rPr>
          <w:sz w:val="24"/>
        </w:rPr>
        <w:t>V prípade tých, ktorí si dopĺňajú vzdelanie v období svojej registrovanej nezamestnanosti a nie sú zapísaní na externej forme štúdia, vzniká problém s úhradou zdravotného poistenia.</w:t>
      </w:r>
    </w:p>
    <w:p w14:paraId="4389B807" w14:textId="77777777" w:rsidR="004541A4" w:rsidRPr="004541A4" w:rsidRDefault="004541A4" w:rsidP="004541A4">
      <w:pPr>
        <w:jc w:val="both"/>
        <w:rPr>
          <w:sz w:val="24"/>
        </w:rPr>
      </w:pPr>
      <w:r w:rsidRPr="004541A4">
        <w:rPr>
          <w:sz w:val="24"/>
        </w:rPr>
        <w:t xml:space="preserve">V prípade základného vzdelania, externú formu štúdia Školský zákon (245/2008 </w:t>
      </w:r>
      <w:proofErr w:type="spellStart"/>
      <w:r w:rsidRPr="004541A4">
        <w:rPr>
          <w:sz w:val="24"/>
        </w:rPr>
        <w:t>Z.z</w:t>
      </w:r>
      <w:proofErr w:type="spellEnd"/>
      <w:r w:rsidRPr="004541A4">
        <w:rPr>
          <w:sz w:val="24"/>
        </w:rPr>
        <w:t xml:space="preserve">.) však vôbec nerozoznáva, v prípade stredných škôl je pre otvorenie triedy poskytujúcej vzdelanie v externej forme štúdia potrebných najmenej 8 študentov (viď zákon 245/2008 </w:t>
      </w:r>
      <w:proofErr w:type="spellStart"/>
      <w:r w:rsidRPr="004541A4">
        <w:rPr>
          <w:sz w:val="24"/>
        </w:rPr>
        <w:t>Z.z</w:t>
      </w:r>
      <w:proofErr w:type="spellEnd"/>
      <w:r w:rsidRPr="004541A4">
        <w:rPr>
          <w:sz w:val="24"/>
        </w:rPr>
        <w:t xml:space="preserve">, § 33, ods. 7).  </w:t>
      </w:r>
    </w:p>
    <w:p w14:paraId="1565C787" w14:textId="77777777" w:rsidR="004541A4" w:rsidRPr="004541A4" w:rsidRDefault="004541A4" w:rsidP="004541A4">
      <w:pPr>
        <w:jc w:val="both"/>
        <w:rPr>
          <w:sz w:val="24"/>
        </w:rPr>
      </w:pPr>
      <w:r w:rsidRPr="004541A4">
        <w:rPr>
          <w:sz w:val="24"/>
        </w:rPr>
        <w:t>Vzdelávanie pre dospelých účastníkov vzdelávania sa preto obyčajne poskytuje dennou formou ale prostredníctvom individuálnych plánov. Individuálny plán dospelým účastníkom vzdelávania dovoľuje pokračovať v zamestnaní a zabezpečovaní príjmu potrebného pre ich rodiny, alebo im dovoľuje sa naďalej starať o deti a domácnosť (dospelé účastníčky vzdelávania majú často deti, o ktoré sa potrebujú starať).</w:t>
      </w:r>
    </w:p>
    <w:p w14:paraId="7CA4377E" w14:textId="77777777" w:rsidR="004541A4" w:rsidRPr="004541A4" w:rsidRDefault="004541A4" w:rsidP="004541A4">
      <w:pPr>
        <w:jc w:val="both"/>
        <w:rPr>
          <w:sz w:val="24"/>
        </w:rPr>
      </w:pPr>
      <w:r w:rsidRPr="004541A4">
        <w:rPr>
          <w:sz w:val="24"/>
        </w:rPr>
        <w:t xml:space="preserve">Mladé matky, ktoré majú záujem si doplniť vzdelanie sú obyčajne registrované v evidencii uchádzačov o zamestnanie. Napriek tomu, že takmer žiadnej z týchto uchádzačiek nevzniká nárok na podporu v nezamestnanosti, zotrvanie v registri uchádzačov o zamestnanie je pre </w:t>
      </w:r>
      <w:proofErr w:type="spellStart"/>
      <w:r w:rsidRPr="004541A4">
        <w:rPr>
          <w:sz w:val="24"/>
        </w:rPr>
        <w:t>ne</w:t>
      </w:r>
      <w:proofErr w:type="spellEnd"/>
      <w:r w:rsidRPr="004541A4">
        <w:rPr>
          <w:sz w:val="24"/>
        </w:rPr>
        <w:t xml:space="preserve"> dôležité nakoľko i) je za </w:t>
      </w:r>
      <w:proofErr w:type="spellStart"/>
      <w:r w:rsidRPr="004541A4">
        <w:rPr>
          <w:sz w:val="24"/>
        </w:rPr>
        <w:t>ne</w:t>
      </w:r>
      <w:proofErr w:type="spellEnd"/>
      <w:r w:rsidRPr="004541A4">
        <w:rPr>
          <w:sz w:val="24"/>
        </w:rPr>
        <w:t xml:space="preserve"> hradené verejné zdravotné poistenie, ii) zotrvanie v registri im zvyšuje šancu na získanie dotovaného pracovného miesta podporeného v zmysle jednotlivých opatrení APTP, pre ktoré je potrebné zotrvanie v registri.</w:t>
      </w:r>
    </w:p>
    <w:p w14:paraId="42F1D87B" w14:textId="77777777" w:rsidR="004541A4" w:rsidRPr="004541A4" w:rsidRDefault="004541A4" w:rsidP="004541A4">
      <w:pPr>
        <w:jc w:val="both"/>
        <w:rPr>
          <w:sz w:val="24"/>
        </w:rPr>
      </w:pPr>
      <w:r w:rsidRPr="004541A4">
        <w:rPr>
          <w:sz w:val="24"/>
        </w:rPr>
        <w:t>V prípade, ak je registrovaný uchádzač o zamestnanie mladší ako 30 rokov a tento sa rozhodne doplniť si vzdelanie v dennej forme štúdia, verejné zdravotné poistenie je za tohto študenta hradené, jednotlivec teda stráca „len“ príležitosť získať dotované pracovné miesto.</w:t>
      </w:r>
    </w:p>
    <w:p w14:paraId="530ABC53" w14:textId="77777777" w:rsidR="004541A4" w:rsidRPr="004541A4" w:rsidRDefault="004541A4" w:rsidP="004541A4">
      <w:pPr>
        <w:jc w:val="both"/>
        <w:rPr>
          <w:sz w:val="24"/>
        </w:rPr>
      </w:pPr>
      <w:r w:rsidRPr="004541A4">
        <w:rPr>
          <w:sz w:val="24"/>
        </w:rPr>
        <w:t>Problém vzniká v prípade uchádzačov o zamestnanie, ktorí sú starší ako 30 rokov (vo väčšine prípadov ide o ženy), nie sú poberateľmi dávky v hmotnej núdzi, prípadne nežijú v domácnosti, ktorá je poberateľom dávky v hmotnej núdzi a nemajú príležitosť si doplniť vzdelanie externou formou štúdia (ponuka externých programov je vzhľadom na podmienku minimálneho počtu študentov limitovaná). Napriek tomu, že štúdium je realizované na základe individuálneho plánu (teda školu navštevuje napr. 1x týždenne) takýto uchádzač je automaticky z registra uchádzačov o zamestnanie vyradený a vzniká mu povinnosť voči zdravotnej poisťovni. Len minimum rodín má zdroje potrebné na úhradu tejto povinnosti, vo väčšine prípadov sa jednotlivec kvôli neschopnosti si plniť povinnosť voči zdravotnej povinnosti rozhodne štúdium ukončiť a vzdelanie si nedoplniť.</w:t>
      </w:r>
    </w:p>
    <w:p w14:paraId="5DE7AD98" w14:textId="77777777" w:rsidR="004541A4" w:rsidRPr="004541A4" w:rsidRDefault="004541A4" w:rsidP="004541A4">
      <w:pPr>
        <w:jc w:val="both"/>
        <w:rPr>
          <w:sz w:val="24"/>
        </w:rPr>
      </w:pPr>
      <w:r w:rsidRPr="004541A4">
        <w:rPr>
          <w:sz w:val="24"/>
        </w:rPr>
        <w:lastRenderedPageBreak/>
        <w:t xml:space="preserve">V praxi teda dochádza ku konfliktu viacerých predpisov a strategických cieľov – na jednej strane existuje verejný záujem, aby dospelí jednotlivci s neukončeným vzdelaním, si svoje vzdelanie dokončili, prípadne si ho doplnili, na druhej strane aktuálne platná legislatíva vytvára prekážky, aby tak mohli konať.  </w:t>
      </w:r>
    </w:p>
    <w:p w14:paraId="1BFB7A36" w14:textId="77777777" w:rsidR="004541A4" w:rsidRPr="004541A4" w:rsidRDefault="004541A4" w:rsidP="004541A4">
      <w:pPr>
        <w:jc w:val="both"/>
        <w:rPr>
          <w:sz w:val="24"/>
        </w:rPr>
      </w:pPr>
    </w:p>
    <w:p w14:paraId="198C22DD" w14:textId="77777777" w:rsidR="004541A4" w:rsidRPr="004541A4" w:rsidRDefault="004541A4" w:rsidP="004541A4">
      <w:pPr>
        <w:jc w:val="both"/>
        <w:rPr>
          <w:b/>
          <w:sz w:val="24"/>
        </w:rPr>
      </w:pPr>
    </w:p>
    <w:p w14:paraId="3022496F" w14:textId="77777777" w:rsidR="004541A4" w:rsidRPr="004541A4" w:rsidRDefault="004541A4" w:rsidP="004541A4">
      <w:pPr>
        <w:jc w:val="both"/>
        <w:rPr>
          <w:b/>
          <w:sz w:val="24"/>
        </w:rPr>
      </w:pPr>
      <w:r w:rsidRPr="004541A4">
        <w:rPr>
          <w:b/>
          <w:sz w:val="24"/>
        </w:rPr>
        <w:t>Návrh pre riešenie problému</w:t>
      </w:r>
    </w:p>
    <w:p w14:paraId="2E67F64D" w14:textId="77777777" w:rsidR="004541A4" w:rsidRPr="004541A4" w:rsidRDefault="004541A4" w:rsidP="004541A4">
      <w:pPr>
        <w:jc w:val="both"/>
        <w:rPr>
          <w:sz w:val="24"/>
        </w:rPr>
      </w:pPr>
      <w:r w:rsidRPr="004541A4">
        <w:rPr>
          <w:sz w:val="24"/>
        </w:rPr>
        <w:t xml:space="preserve">Riešením problému môže byť úprava Zákon 580/2004 </w:t>
      </w:r>
      <w:proofErr w:type="spellStart"/>
      <w:r w:rsidRPr="004541A4">
        <w:rPr>
          <w:sz w:val="24"/>
        </w:rPr>
        <w:t>Z.z</w:t>
      </w:r>
      <w:proofErr w:type="spellEnd"/>
      <w:r w:rsidRPr="004541A4">
        <w:rPr>
          <w:sz w:val="24"/>
        </w:rPr>
        <w:t>. o zdravotnom poistení, v rámci ktorého by bol doplnený zoznam poistencov, za ktorých náklady na verejnom poistení nesie štát.</w:t>
      </w:r>
    </w:p>
    <w:p w14:paraId="6560ACAE" w14:textId="77777777" w:rsidR="004541A4" w:rsidRPr="004541A4" w:rsidRDefault="004541A4" w:rsidP="004541A4">
      <w:pPr>
        <w:jc w:val="both"/>
        <w:rPr>
          <w:sz w:val="24"/>
        </w:rPr>
      </w:pPr>
      <w:r w:rsidRPr="004541A4">
        <w:rPr>
          <w:sz w:val="24"/>
        </w:rPr>
        <w:t xml:space="preserve">V § 11 ods.7 uvedeného zákona by bolo doplnené písmeno „x“ v znení </w:t>
      </w:r>
    </w:p>
    <w:p w14:paraId="48CD7EB4" w14:textId="77777777" w:rsidR="004541A4" w:rsidRPr="004541A4" w:rsidRDefault="004541A4" w:rsidP="004541A4">
      <w:pPr>
        <w:ind w:left="708"/>
        <w:jc w:val="both"/>
        <w:rPr>
          <w:sz w:val="24"/>
        </w:rPr>
      </w:pPr>
      <w:r w:rsidRPr="004541A4">
        <w:rPr>
          <w:sz w:val="24"/>
        </w:rPr>
        <w:t xml:space="preserve">„o fyzickú osobu, bez ohľadu na jej vek,  ktorá študuje na základnej alebo strednej škole, ale iba v prípade, ak ide o dovŕšenie prvého úplného stredoškolského vzdelania, poistencom štátu je aj v období prázdnin až do vykonania záverečnej skúšky alebo vydania potvrdenia o ukončení štúdia na základnej škole“ </w:t>
      </w:r>
    </w:p>
    <w:p w14:paraId="0E82A406" w14:textId="77777777" w:rsidR="004541A4" w:rsidRPr="004541A4" w:rsidRDefault="004541A4" w:rsidP="004541A4">
      <w:pPr>
        <w:jc w:val="both"/>
        <w:rPr>
          <w:sz w:val="24"/>
        </w:rPr>
      </w:pPr>
      <w:r w:rsidRPr="004541A4">
        <w:rPr>
          <w:sz w:val="24"/>
        </w:rPr>
        <w:t>Akceptáciou uvedeného návrhu by  jednotlivci starší ako 30 rokov, ktorí si dopĺňajú základne alebo stredoškolské vzdelanie v dennej forme štúdia a doposiaľ boli poistenci štátu z dôvodu evidencie v registri uchádzačov o zamestnanie, i naďalej boli vedení ako poistenci štátu, napriek tomu, že by boli vyradení z evidencie uchádzačov o zamestnanie.</w:t>
      </w:r>
    </w:p>
    <w:p w14:paraId="1D637549" w14:textId="52343156" w:rsidR="00BB720F" w:rsidRPr="00BB720F" w:rsidRDefault="00BB720F" w:rsidP="00BB720F">
      <w:pPr>
        <w:jc w:val="both"/>
        <w:rPr>
          <w:sz w:val="24"/>
          <w:szCs w:val="24"/>
        </w:rPr>
      </w:pPr>
      <w:r w:rsidRPr="00BB720F">
        <w:rPr>
          <w:sz w:val="24"/>
          <w:szCs w:val="24"/>
        </w:rPr>
        <w:t xml:space="preserve">Návrhy boli formulované v rámci projektu „Lepšie verejné politiky pre MRK“, ktorý realizuje organizácia Človek v ohrození, </w:t>
      </w:r>
      <w:proofErr w:type="spellStart"/>
      <w:r w:rsidRPr="00BB720F">
        <w:rPr>
          <w:sz w:val="24"/>
          <w:szCs w:val="24"/>
        </w:rPr>
        <w:t>n.o</w:t>
      </w:r>
      <w:proofErr w:type="spellEnd"/>
      <w:r w:rsidRPr="00BB720F">
        <w:rPr>
          <w:sz w:val="24"/>
          <w:szCs w:val="24"/>
        </w:rPr>
        <w:t xml:space="preserve">. prostredníctvom operačného programu Efektívna verejná správa. </w:t>
      </w:r>
    </w:p>
    <w:p w14:paraId="735E2D05" w14:textId="77777777" w:rsidR="00BB720F" w:rsidRDefault="00BB720F" w:rsidP="00193DD0">
      <w:pPr>
        <w:rPr>
          <w:sz w:val="24"/>
          <w:szCs w:val="24"/>
        </w:rPr>
      </w:pPr>
    </w:p>
    <w:p w14:paraId="644ECF0A" w14:textId="49A5A956" w:rsidR="00BB720F" w:rsidRPr="00BB720F" w:rsidRDefault="00BB720F" w:rsidP="00193DD0">
      <w:pPr>
        <w:rPr>
          <w:sz w:val="24"/>
          <w:szCs w:val="24"/>
        </w:rPr>
      </w:pPr>
      <w:r w:rsidRPr="00BB720F">
        <w:rPr>
          <w:sz w:val="24"/>
          <w:szCs w:val="24"/>
        </w:rPr>
        <w:t>V Bratislave, dňa: 31.3.2020</w:t>
      </w:r>
    </w:p>
    <w:p w14:paraId="24BA3467" w14:textId="77777777" w:rsidR="00BB720F" w:rsidRDefault="00BB720F" w:rsidP="00193DD0">
      <w:pPr>
        <w:rPr>
          <w:sz w:val="24"/>
          <w:szCs w:val="24"/>
        </w:rPr>
      </w:pPr>
    </w:p>
    <w:p w14:paraId="758909BC" w14:textId="046780AE" w:rsidR="00BB720F" w:rsidRPr="00BB720F" w:rsidRDefault="00BB720F" w:rsidP="00193DD0">
      <w:pPr>
        <w:rPr>
          <w:sz w:val="24"/>
          <w:szCs w:val="24"/>
        </w:rPr>
      </w:pPr>
      <w:r w:rsidRPr="00BB720F">
        <w:rPr>
          <w:sz w:val="24"/>
          <w:szCs w:val="24"/>
        </w:rPr>
        <w:t>Michaela Mudroňová</w:t>
      </w:r>
    </w:p>
    <w:p w14:paraId="75C1ECD3" w14:textId="5C87C123" w:rsidR="00845CFA" w:rsidRPr="00417151" w:rsidRDefault="00845CFA" w:rsidP="00845CFA">
      <w:pPr>
        <w:jc w:val="both"/>
        <w:rPr>
          <w:sz w:val="24"/>
          <w:szCs w:val="24"/>
        </w:rPr>
      </w:pPr>
      <w:r>
        <w:rPr>
          <w:sz w:val="24"/>
          <w:szCs w:val="24"/>
        </w:rPr>
        <w:t>Koordinátorka</w:t>
      </w:r>
      <w:bookmarkStart w:id="0" w:name="_GoBack"/>
      <w:bookmarkEnd w:id="0"/>
      <w:r>
        <w:rPr>
          <w:sz w:val="24"/>
          <w:szCs w:val="24"/>
        </w:rPr>
        <w:t xml:space="preserve"> v oblasti zamestnávania</w:t>
      </w:r>
    </w:p>
    <w:p w14:paraId="3EDC1743" w14:textId="77777777" w:rsidR="00BB720F" w:rsidRDefault="00BB720F" w:rsidP="00BB720F">
      <w:pPr>
        <w:rPr>
          <w:sz w:val="24"/>
          <w:szCs w:val="24"/>
        </w:rPr>
      </w:pPr>
    </w:p>
    <w:p w14:paraId="0EC06C30" w14:textId="1A3EEA46" w:rsidR="00193DD0" w:rsidRPr="00BB720F" w:rsidRDefault="00BB720F" w:rsidP="00193DD0">
      <w:pPr>
        <w:rPr>
          <w:sz w:val="24"/>
          <w:szCs w:val="24"/>
        </w:rPr>
      </w:pPr>
      <w:r w:rsidRPr="00DD0B98">
        <w:rPr>
          <w:sz w:val="24"/>
          <w:szCs w:val="24"/>
        </w:rPr>
        <w:t>Tento projekt je podporený z Európskeho sociálneho fondu z Operačného programu Efektívna verejná správa.</w:t>
      </w:r>
    </w:p>
    <w:sectPr w:rsidR="00193DD0" w:rsidRPr="00BB720F">
      <w:headerReference w:type="default" r:id="rId7"/>
      <w:footerReference w:type="default" r:id="rId8"/>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760A5" w14:textId="77777777" w:rsidR="00C447B3" w:rsidRDefault="00C447B3">
      <w:pPr>
        <w:spacing w:after="0" w:line="240" w:lineRule="auto"/>
      </w:pPr>
      <w:r>
        <w:separator/>
      </w:r>
    </w:p>
  </w:endnote>
  <w:endnote w:type="continuationSeparator" w:id="0">
    <w:p w14:paraId="1DBB99AA" w14:textId="77777777" w:rsidR="00C447B3" w:rsidRDefault="00C4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 xml:space="preserve">Človek v ohrození, </w:t>
    </w:r>
    <w:proofErr w:type="spellStart"/>
    <w:r w:rsidRPr="0075295A">
      <w:rPr>
        <w:rStyle w:val="Siln"/>
        <w:rFonts w:ascii="Arial Narrow" w:hAnsi="Arial Narrow" w:cs="Arial Narrow"/>
        <w:sz w:val="18"/>
        <w:szCs w:val="18"/>
      </w:rPr>
      <w:t>n.o</w:t>
    </w:r>
    <w:proofErr w:type="spellEnd"/>
    <w:r w:rsidRPr="0075295A">
      <w:rPr>
        <w:rStyle w:val="Siln"/>
        <w:rFonts w:ascii="Arial Narrow" w:hAnsi="Arial Narrow" w:cs="Arial Narrow"/>
        <w:sz w:val="18"/>
        <w:szCs w:val="18"/>
      </w:rPr>
      <w:t>.,</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C447B3"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63AD" w14:textId="77777777" w:rsidR="00C447B3" w:rsidRDefault="00C447B3">
      <w:pPr>
        <w:spacing w:after="0" w:line="240" w:lineRule="auto"/>
      </w:pPr>
      <w:r>
        <w:separator/>
      </w:r>
    </w:p>
  </w:footnote>
  <w:footnote w:type="continuationSeparator" w:id="0">
    <w:p w14:paraId="10127A3A" w14:textId="77777777" w:rsidR="00C447B3" w:rsidRDefault="00C447B3">
      <w:pPr>
        <w:spacing w:after="0" w:line="240" w:lineRule="auto"/>
      </w:pPr>
      <w:r>
        <w:continuationSeparator/>
      </w:r>
    </w:p>
  </w:footnote>
  <w:footnote w:id="1">
    <w:p w14:paraId="44DB2B7C" w14:textId="77777777" w:rsidR="004541A4" w:rsidRPr="00D359E8" w:rsidRDefault="004541A4" w:rsidP="004541A4">
      <w:pPr>
        <w:pStyle w:val="Textpoznmkypodiarou"/>
      </w:pPr>
      <w:r>
        <w:rPr>
          <w:rStyle w:val="Odkaznapoznmkupodiarou"/>
        </w:rPr>
        <w:footnoteRef/>
      </w:r>
      <w:r>
        <w:t xml:space="preserve"> napr. Stratégia SR  pre integráciou Rómov do roku 2020, čiastkový cieľ 5 a čiastkový cieľ 6 Akčného plánu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0F2234"/>
    <w:rsid w:val="00145108"/>
    <w:rsid w:val="00170B16"/>
    <w:rsid w:val="00193DD0"/>
    <w:rsid w:val="001C3CC6"/>
    <w:rsid w:val="001E10EC"/>
    <w:rsid w:val="0026269E"/>
    <w:rsid w:val="002860E4"/>
    <w:rsid w:val="002B2151"/>
    <w:rsid w:val="003008E0"/>
    <w:rsid w:val="00326FE1"/>
    <w:rsid w:val="003D512C"/>
    <w:rsid w:val="004541A4"/>
    <w:rsid w:val="004F0F00"/>
    <w:rsid w:val="00662140"/>
    <w:rsid w:val="00694F23"/>
    <w:rsid w:val="0075295A"/>
    <w:rsid w:val="00755F24"/>
    <w:rsid w:val="007E1E94"/>
    <w:rsid w:val="008447FD"/>
    <w:rsid w:val="00845CFA"/>
    <w:rsid w:val="00854AC9"/>
    <w:rsid w:val="008A0BC3"/>
    <w:rsid w:val="009C738D"/>
    <w:rsid w:val="009F04E2"/>
    <w:rsid w:val="00A84DF1"/>
    <w:rsid w:val="00B75633"/>
    <w:rsid w:val="00BB720F"/>
    <w:rsid w:val="00C36A19"/>
    <w:rsid w:val="00C41684"/>
    <w:rsid w:val="00C447B3"/>
    <w:rsid w:val="00C80EAE"/>
    <w:rsid w:val="00CB5A9D"/>
    <w:rsid w:val="00D37AB6"/>
    <w:rsid w:val="00D73183"/>
    <w:rsid w:val="00E37974"/>
    <w:rsid w:val="00E73CED"/>
    <w:rsid w:val="00EC59F0"/>
    <w:rsid w:val="00F135DB"/>
    <w:rsid w:val="00FA0952"/>
    <w:rsid w:val="00FA35FA"/>
    <w:rsid w:val="00FF512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BB720F"/>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Textpoznmkypodiarou">
    <w:name w:val="footnote text"/>
    <w:basedOn w:val="Normlny"/>
    <w:link w:val="TextpoznmkypodiarouChar"/>
    <w:uiPriority w:val="99"/>
    <w:semiHidden/>
    <w:unhideWhenUsed/>
    <w:rsid w:val="00BB720F"/>
    <w:pPr>
      <w:suppressAutoHyphens w:val="0"/>
      <w:spacing w:after="0" w:line="240" w:lineRule="auto"/>
    </w:pPr>
    <w:rPr>
      <w:rFonts w:asciiTheme="minorHAnsi" w:eastAsiaTheme="minorHAnsi" w:hAnsiTheme="minorHAnsi" w:cstheme="minorBidi"/>
    </w:rPr>
  </w:style>
  <w:style w:type="character" w:customStyle="1" w:styleId="TextpoznmkypodiarouChar">
    <w:name w:val="Text poznámky pod čiarou Char"/>
    <w:basedOn w:val="Predvolenpsmoodseku"/>
    <w:link w:val="Textpoznmkypodiarou"/>
    <w:uiPriority w:val="99"/>
    <w:semiHidden/>
    <w:rsid w:val="00BB720F"/>
    <w:rPr>
      <w:rFonts w:asciiTheme="minorHAnsi" w:eastAsiaTheme="minorHAnsi" w:hAnsiTheme="minorHAnsi" w:cstheme="minorBidi"/>
    </w:rPr>
  </w:style>
  <w:style w:type="character" w:styleId="Odkaznapoznmkupodiarou">
    <w:name w:val="footnote reference"/>
    <w:basedOn w:val="Predvolenpsmoodseku"/>
    <w:uiPriority w:val="99"/>
    <w:semiHidden/>
    <w:unhideWhenUsed/>
    <w:rsid w:val="00BB7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978</Words>
  <Characters>5577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 Tichy</dc:creator>
  <cp:lastModifiedBy>Michaela Mudroňová</cp:lastModifiedBy>
  <cp:revision>7</cp:revision>
  <cp:lastPrinted>2020-08-14T09:03:00Z</cp:lastPrinted>
  <dcterms:created xsi:type="dcterms:W3CDTF">2020-10-29T09:53:00Z</dcterms:created>
  <dcterms:modified xsi:type="dcterms:W3CDTF">2020-11-06T12:18:00Z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