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17151" w14:paraId="13D96814" w14:textId="77777777" w:rsidTr="00BD6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AD2A175" w14:textId="77777777" w:rsidR="00417151" w:rsidRPr="002C302A" w:rsidRDefault="00417151" w:rsidP="00BD6C78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14:paraId="4D88CAD0" w14:textId="77777777" w:rsidR="00417151" w:rsidRDefault="00417151" w:rsidP="00BD6C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417151" w14:paraId="3DC88A70" w14:textId="77777777" w:rsidTr="00BD6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67A8AEE" w14:textId="77777777" w:rsidR="00417151" w:rsidRPr="002C302A" w:rsidRDefault="00417151" w:rsidP="00BD6C78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14:paraId="763080C2" w14:textId="77777777" w:rsidR="00417151" w:rsidRPr="00417151" w:rsidRDefault="00417151" w:rsidP="00BD6C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1">
              <w:rPr>
                <w:rFonts w:ascii="Times New Roman" w:hAnsi="Times New Roman" w:cs="Times New Roman"/>
                <w:sz w:val="24"/>
                <w:szCs w:val="24"/>
              </w:rPr>
              <w:t>Človek v ohrození, n. o.</w:t>
            </w:r>
          </w:p>
        </w:tc>
      </w:tr>
      <w:tr w:rsidR="00417151" w14:paraId="4E95FC96" w14:textId="77777777" w:rsidTr="00BD6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73BD2F" w14:textId="77777777" w:rsidR="00417151" w:rsidRPr="002C302A" w:rsidRDefault="00417151" w:rsidP="00BD6C78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14:paraId="602D8D63" w14:textId="77777777" w:rsidR="00417151" w:rsidRPr="00417151" w:rsidRDefault="00417151" w:rsidP="00BD6C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1">
              <w:rPr>
                <w:rFonts w:ascii="Times New Roman" w:hAnsi="Times New Roman" w:cs="Times New Roman"/>
                <w:sz w:val="24"/>
                <w:szCs w:val="24"/>
              </w:rPr>
              <w:t>Efektívna verejná správa</w:t>
            </w:r>
          </w:p>
        </w:tc>
      </w:tr>
      <w:tr w:rsidR="00417151" w14:paraId="6D786D3A" w14:textId="77777777" w:rsidTr="00BD6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07D65D" w14:textId="77777777" w:rsidR="00417151" w:rsidRPr="002C302A" w:rsidRDefault="00417151" w:rsidP="00BD6C78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14:paraId="26B79FC1" w14:textId="77777777" w:rsidR="00417151" w:rsidRPr="00417151" w:rsidRDefault="00417151" w:rsidP="00BD6C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1">
              <w:rPr>
                <w:rFonts w:ascii="Times New Roman" w:hAnsi="Times New Roman" w:cs="Times New Roman"/>
                <w:sz w:val="24"/>
                <w:szCs w:val="24"/>
              </w:rPr>
              <w:t>NFP314011L915</w:t>
            </w:r>
          </w:p>
        </w:tc>
      </w:tr>
      <w:tr w:rsidR="00417151" w14:paraId="31569D58" w14:textId="77777777" w:rsidTr="00BD6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033A2A" w14:textId="77777777" w:rsidR="00417151" w:rsidRPr="002C302A" w:rsidRDefault="00417151" w:rsidP="00BD6C78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14:paraId="56DB2CE8" w14:textId="77777777" w:rsidR="00417151" w:rsidRPr="00417151" w:rsidRDefault="00417151" w:rsidP="00BD6C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1">
              <w:rPr>
                <w:rFonts w:ascii="Times New Roman" w:hAnsi="Times New Roman" w:cs="Times New Roman"/>
                <w:sz w:val="24"/>
                <w:szCs w:val="24"/>
              </w:rPr>
              <w:t>Hlavná aktivita č. 2, Skvalitňovanie aktívnych politík trhu práce pre MRK</w:t>
            </w:r>
          </w:p>
        </w:tc>
      </w:tr>
      <w:tr w:rsidR="00417151" w14:paraId="7EA4EEEC" w14:textId="77777777" w:rsidTr="00BD6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DF035F" w14:textId="77777777" w:rsidR="00417151" w:rsidRPr="002C302A" w:rsidRDefault="00417151" w:rsidP="00BD6C78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14:paraId="20913B84" w14:textId="6AA20537" w:rsidR="00417151" w:rsidRPr="00417151" w:rsidRDefault="00417151" w:rsidP="00BD6C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1">
              <w:rPr>
                <w:rFonts w:ascii="Times New Roman" w:hAnsi="Times New Roman" w:cs="Times New Roman"/>
                <w:sz w:val="24"/>
                <w:szCs w:val="24"/>
              </w:rPr>
              <w:t>Návrh na legislatívne zmeny za účelom zefektívnenia VS </w:t>
            </w:r>
          </w:p>
        </w:tc>
      </w:tr>
      <w:tr w:rsidR="00417151" w14:paraId="4D1E4BA8" w14:textId="77777777" w:rsidTr="00BD6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86EC7E0" w14:textId="7F2142C7" w:rsidR="00417151" w:rsidRPr="002C302A" w:rsidRDefault="00417151" w:rsidP="00417151">
            <w:pPr>
              <w:rPr>
                <w:b w:val="0"/>
              </w:rPr>
            </w:pPr>
            <w:r w:rsidRPr="002C302A">
              <w:rPr>
                <w:b w:val="0"/>
              </w:rPr>
              <w:t xml:space="preserve">Názov </w:t>
            </w:r>
            <w:r>
              <w:rPr>
                <w:b w:val="0"/>
              </w:rPr>
              <w:t>legislatívneho návrhu</w:t>
            </w:r>
            <w:r w:rsidRPr="002C302A">
              <w:rPr>
                <w:b w:val="0"/>
              </w:rPr>
              <w:t>:</w:t>
            </w:r>
          </w:p>
        </w:tc>
        <w:tc>
          <w:tcPr>
            <w:tcW w:w="6799" w:type="dxa"/>
          </w:tcPr>
          <w:p w14:paraId="6CF6A4D4" w14:textId="05E4F513" w:rsidR="00417151" w:rsidRPr="00417151" w:rsidRDefault="00417151" w:rsidP="00BD6C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Zavedenie „</w:t>
            </w:r>
            <w:proofErr w:type="spellStart"/>
            <w:r w:rsidRPr="004171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internshipu</w:t>
            </w:r>
            <w:proofErr w:type="spellEnd"/>
            <w:r w:rsidRPr="004171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“ ako formy aktivácie pre vybrané skupiny uchádzačov o zamestnanie</w:t>
            </w:r>
          </w:p>
        </w:tc>
      </w:tr>
      <w:tr w:rsidR="00417151" w14:paraId="3E38D8C6" w14:textId="77777777" w:rsidTr="00BD6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494293" w14:textId="77777777" w:rsidR="00417151" w:rsidRPr="002C302A" w:rsidRDefault="00417151" w:rsidP="00BD6C78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14:paraId="7B8BD35F" w14:textId="76A2333E" w:rsidR="00417151" w:rsidRPr="00417151" w:rsidRDefault="00417151" w:rsidP="00BD6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1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 rodiny SR</w:t>
            </w:r>
          </w:p>
        </w:tc>
      </w:tr>
    </w:tbl>
    <w:p w14:paraId="5E98D939" w14:textId="786E6899" w:rsidR="00417151" w:rsidRPr="00417151" w:rsidRDefault="00417151" w:rsidP="00417151">
      <w:pPr>
        <w:jc w:val="both"/>
        <w:rPr>
          <w:sz w:val="24"/>
          <w:szCs w:val="24"/>
        </w:rPr>
      </w:pPr>
    </w:p>
    <w:p w14:paraId="28D24E9A" w14:textId="77777777" w:rsidR="00417151" w:rsidRPr="00417151" w:rsidRDefault="00417151" w:rsidP="00417151">
      <w:pPr>
        <w:jc w:val="both"/>
        <w:rPr>
          <w:b/>
          <w:sz w:val="24"/>
          <w:szCs w:val="24"/>
        </w:rPr>
      </w:pPr>
      <w:r w:rsidRPr="00417151">
        <w:rPr>
          <w:b/>
          <w:sz w:val="24"/>
          <w:szCs w:val="24"/>
        </w:rPr>
        <w:t>Úvod</w:t>
      </w:r>
    </w:p>
    <w:p w14:paraId="271E3D31" w14:textId="77777777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t>Aj vzhľadom na akútny nedostatok pracovnej sily, ktorému trh práce na Slovensku aktuálne čelí, zamestnávatelia začínajú vo väčšej miere objavovať ľudí z prostredia MRK ako nádejný zdroj pracovnej sily. Ľudia z prostredia MRK sú však na prácu v bežných pracovných podmienkach často nepripravení (či v zmysle sociálnych alebo pracovných zručností), s čím sa spája vysoká miera fluktuácie a vysokej miery investície zo strany zamestnávateľa.</w:t>
      </w:r>
    </w:p>
    <w:p w14:paraId="4E1E5312" w14:textId="5B08FDEB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t>Prípravu jednotlivcov na bežné zamestnanie by mali zabezpečovať integračné sociálne podniky, ktoré v zmysle platnej legislatívy môžu znevýhodnenému zamestnancovi poskytnúť cca 2 roky</w:t>
      </w:r>
      <w:r w:rsidRPr="00417151">
        <w:rPr>
          <w:rStyle w:val="Odkaznapoznmkupodiarou"/>
          <w:sz w:val="24"/>
          <w:szCs w:val="24"/>
        </w:rPr>
        <w:footnoteReference w:id="1"/>
      </w:r>
      <w:r w:rsidRPr="00417151">
        <w:rPr>
          <w:sz w:val="24"/>
          <w:szCs w:val="24"/>
        </w:rPr>
        <w:t xml:space="preserve"> trvajúce prechodné zamestnanie, v rámci ktorého by mal byť dovtedy znevýhodnený zamestnanec plnohodnotne pripravený na zvládnutie bežných pracovných podmienok.  Sociálne podniky</w:t>
      </w:r>
      <w:r w:rsidR="004778E5">
        <w:rPr>
          <w:sz w:val="24"/>
          <w:szCs w:val="24"/>
        </w:rPr>
        <w:t>,</w:t>
      </w:r>
      <w:r w:rsidRPr="00417151">
        <w:rPr>
          <w:sz w:val="24"/>
          <w:szCs w:val="24"/>
        </w:rPr>
        <w:t xml:space="preserve"> špecializujúce sa </w:t>
      </w:r>
      <w:r w:rsidR="004778E5">
        <w:rPr>
          <w:sz w:val="24"/>
          <w:szCs w:val="24"/>
        </w:rPr>
        <w:t xml:space="preserve">na </w:t>
      </w:r>
      <w:r w:rsidRPr="00417151">
        <w:rPr>
          <w:sz w:val="24"/>
          <w:szCs w:val="24"/>
        </w:rPr>
        <w:t>zamestnávanie ľudí z prostredia MRK</w:t>
      </w:r>
      <w:r w:rsidR="004778E5">
        <w:rPr>
          <w:sz w:val="24"/>
          <w:szCs w:val="24"/>
        </w:rPr>
        <w:t>,</w:t>
      </w:r>
      <w:r w:rsidRPr="00417151">
        <w:rPr>
          <w:sz w:val="24"/>
          <w:szCs w:val="24"/>
        </w:rPr>
        <w:t xml:space="preserve"> však nie sú prítomn</w:t>
      </w:r>
      <w:r w:rsidR="004778E5">
        <w:rPr>
          <w:sz w:val="24"/>
          <w:szCs w:val="24"/>
        </w:rPr>
        <w:t>é</w:t>
      </w:r>
      <w:r w:rsidRPr="00417151">
        <w:rPr>
          <w:sz w:val="24"/>
          <w:szCs w:val="24"/>
        </w:rPr>
        <w:t xml:space="preserve"> v každom z regiónov, kde sú potrebné, preto je </w:t>
      </w:r>
      <w:r w:rsidR="004778E5">
        <w:rPr>
          <w:sz w:val="24"/>
          <w:szCs w:val="24"/>
        </w:rPr>
        <w:t>dôležité</w:t>
      </w:r>
      <w:r w:rsidRPr="00417151">
        <w:rPr>
          <w:sz w:val="24"/>
          <w:szCs w:val="24"/>
        </w:rPr>
        <w:t xml:space="preserve"> vyvinúť aj iné nástroje, zvlášť také, ktoré budú podporovať zamestnávanie ľudí z prostredia MRK na otvorenom trhu práce. </w:t>
      </w:r>
    </w:p>
    <w:p w14:paraId="7C65C44F" w14:textId="77777777" w:rsidR="00417151" w:rsidRPr="00417151" w:rsidRDefault="00417151" w:rsidP="00417151">
      <w:pPr>
        <w:jc w:val="both"/>
        <w:rPr>
          <w:b/>
          <w:sz w:val="24"/>
          <w:szCs w:val="24"/>
        </w:rPr>
      </w:pPr>
    </w:p>
    <w:p w14:paraId="672904AE" w14:textId="77777777" w:rsidR="00417151" w:rsidRPr="00417151" w:rsidRDefault="00417151" w:rsidP="00417151">
      <w:pPr>
        <w:jc w:val="both"/>
        <w:rPr>
          <w:b/>
          <w:sz w:val="24"/>
          <w:szCs w:val="24"/>
        </w:rPr>
      </w:pPr>
      <w:r w:rsidRPr="00417151">
        <w:rPr>
          <w:b/>
          <w:sz w:val="24"/>
          <w:szCs w:val="24"/>
        </w:rPr>
        <w:t>Identifikácia problému</w:t>
      </w:r>
    </w:p>
    <w:p w14:paraId="2BA57C53" w14:textId="503FF7BF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t xml:space="preserve">Na základe výpovedí bežných zamestnávateľov, aktuálne chýba nástroj aktívnej politiky trhu práce (APTP), ktorý by zamestnávateľom pomohol minimalizovať riziká spojené so </w:t>
      </w:r>
      <w:r w:rsidRPr="00417151">
        <w:rPr>
          <w:sz w:val="24"/>
          <w:szCs w:val="24"/>
        </w:rPr>
        <w:lastRenderedPageBreak/>
        <w:t>zamestnávaním ľudí, ktorí nie sú na prácu pripravení (vo veľkom rozsahu sem patria aj ľudia z prostredia MRK). Nástroj, po ktorom zamestnávatelia volajú</w:t>
      </w:r>
      <w:r w:rsidR="004778E5">
        <w:rPr>
          <w:sz w:val="24"/>
          <w:szCs w:val="24"/>
        </w:rPr>
        <w:t>,</w:t>
      </w:r>
      <w:r w:rsidRPr="00417151">
        <w:rPr>
          <w:sz w:val="24"/>
          <w:szCs w:val="24"/>
        </w:rPr>
        <w:t xml:space="preserve"> by im mal pomôcť potenciálneho zamestnanca spoznať a potenciálnemu zamestnancovi poskytnúť dostatočné dlhé adaptačné obdobie, po uplynutí ktorého by zamestnanec mohol </w:t>
      </w:r>
      <w:r w:rsidR="004778E5" w:rsidRPr="00417151">
        <w:rPr>
          <w:sz w:val="24"/>
          <w:szCs w:val="24"/>
        </w:rPr>
        <w:t xml:space="preserve">začať </w:t>
      </w:r>
      <w:r w:rsidRPr="00417151">
        <w:rPr>
          <w:sz w:val="24"/>
          <w:szCs w:val="24"/>
        </w:rPr>
        <w:t xml:space="preserve">plnohodnotne pracovať. Zamestnávatelia v zásade nemajú záujem o vysoké investície do adaptačného procesu zamestnancov, ktorých schopnosť zaradiť </w:t>
      </w:r>
      <w:r w:rsidR="004778E5" w:rsidRPr="00417151">
        <w:rPr>
          <w:sz w:val="24"/>
          <w:szCs w:val="24"/>
        </w:rPr>
        <w:t xml:space="preserve">sa </w:t>
      </w:r>
      <w:r w:rsidRPr="00417151">
        <w:rPr>
          <w:sz w:val="24"/>
          <w:szCs w:val="24"/>
        </w:rPr>
        <w:t xml:space="preserve">do pracovného procesu je neistá. Nástroj, ktorý zamestnávatelia považujú za vhodný je absolventská prax realizovaná v zmysle § 51 zákona 5/2004 </w:t>
      </w:r>
      <w:proofErr w:type="spellStart"/>
      <w:r w:rsidRPr="00417151">
        <w:rPr>
          <w:sz w:val="24"/>
          <w:szCs w:val="24"/>
        </w:rPr>
        <w:t>Z.z</w:t>
      </w:r>
      <w:proofErr w:type="spellEnd"/>
      <w:r w:rsidRPr="00417151">
        <w:rPr>
          <w:sz w:val="24"/>
          <w:szCs w:val="24"/>
        </w:rPr>
        <w:t>. o službách zamestnanosti. V rámci absolventskej praxe je účastník programu i naďalej vedený v evidencii uchádzačov o zamestnanie (nevzniká teda pracovno-právny vzťah), náklady spojené s účasťou sú hradené z prostriedkov APTP (zamestnávateľ neznáša náklady spojené s odmenou pre účastníka) a počas maximálne 6 mesiacov (maximálna doba trvania absolventskej praxe) účastník získava pracovné návyky a zručnosti v reálnom pracovnom prostredí. Pracovné zaangažovanie je 20 hodín týždenne. Absolventská prax však nie je uplatniteľná v prípade väčšiny zamestnancov z prostredia MRK, nakoľko len minimálne percento potenciálnych zamestnancov má ukončené vzdelanie. Rovnako veková hranica 26 rokov je obmedzujúca.</w:t>
      </w:r>
    </w:p>
    <w:p w14:paraId="069F5253" w14:textId="16B67A07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t xml:space="preserve">Ďalším problémom je súlad medzi zapojením </w:t>
      </w:r>
      <w:r w:rsidR="004778E5">
        <w:rPr>
          <w:sz w:val="24"/>
          <w:szCs w:val="24"/>
        </w:rPr>
        <w:t xml:space="preserve">sa </w:t>
      </w:r>
      <w:r w:rsidRPr="00417151">
        <w:rPr>
          <w:sz w:val="24"/>
          <w:szCs w:val="24"/>
        </w:rPr>
        <w:t>prostredníctvom absolventskej praxe a sociálnym systémom, nakoľko nie je výnimočné, že potenciálni účastníci programu žijú v domácnosti, ktorá je poberateľom dávky v hmotnej núdzi a ďalší príjem (aj keď nie zo zamestnania, nakoľko absolventská prax nie je považovaná za zamestnanie) ohrozuje účasť na sociálnom systéme. V prípade rodín, ktoré sú poberateľom dávky v hmotne núdzi je zapojenie člena domácnosti do absolventskej praxe viac ako riskantný a nevýhodný.</w:t>
      </w:r>
    </w:p>
    <w:p w14:paraId="2925E949" w14:textId="77777777" w:rsidR="00417151" w:rsidRPr="00417151" w:rsidRDefault="00417151" w:rsidP="00417151">
      <w:pPr>
        <w:jc w:val="both"/>
        <w:rPr>
          <w:b/>
          <w:sz w:val="24"/>
          <w:szCs w:val="24"/>
        </w:rPr>
      </w:pPr>
    </w:p>
    <w:p w14:paraId="2E7352AA" w14:textId="77777777" w:rsidR="00417151" w:rsidRPr="00417151" w:rsidRDefault="00417151" w:rsidP="00417151">
      <w:pPr>
        <w:jc w:val="both"/>
        <w:rPr>
          <w:b/>
          <w:sz w:val="24"/>
          <w:szCs w:val="24"/>
        </w:rPr>
      </w:pPr>
      <w:r w:rsidRPr="00417151">
        <w:rPr>
          <w:b/>
          <w:sz w:val="24"/>
          <w:szCs w:val="24"/>
        </w:rPr>
        <w:t>Návrh pre riešenie problému</w:t>
      </w:r>
    </w:p>
    <w:p w14:paraId="1936FFA1" w14:textId="77777777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t>Riešením môže byť zavedenie nového nástroja APTP zameraného na získanie pracovných zručností v prostredí otvoreného trhu práce pre ľudí, ktorí sú dlhodobo mimo trhu práce alebo majú ukončené vzdelanie len na úrovni ISCED1 alebo ISCED 2. Účastník opatrenia je vedený v registri uchádzačov o zamestnanie, nie je však stanovená minimálna dĺžka trvania registrácie (je možné sa zaregistrovať v ten istý deň, ako je žiadané o príspevok).</w:t>
      </w:r>
    </w:p>
    <w:p w14:paraId="6DF97BFB" w14:textId="77777777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t>Žiadateľom o príspevok je podporná organizácia (viď nižšie), teda organizácia, ktorá zabezpečuje osobnú podporu účastníka a ďalšie vzdelávanie v rozsahu 10 hodín mesačne.</w:t>
      </w:r>
    </w:p>
    <w:p w14:paraId="17164ABE" w14:textId="0C65A12F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t>Nástroj môže mať formu „</w:t>
      </w:r>
      <w:proofErr w:type="spellStart"/>
      <w:r w:rsidRPr="00417151">
        <w:rPr>
          <w:sz w:val="24"/>
          <w:szCs w:val="24"/>
        </w:rPr>
        <w:t>internshipu</w:t>
      </w:r>
      <w:proofErr w:type="spellEnd"/>
      <w:r w:rsidRPr="00417151">
        <w:rPr>
          <w:sz w:val="24"/>
          <w:szCs w:val="24"/>
        </w:rPr>
        <w:t>“, účastník teda nie je v pracovno-právnom vzťahu, je však plnohodnotne zapojen</w:t>
      </w:r>
      <w:r w:rsidR="004778E5">
        <w:rPr>
          <w:sz w:val="24"/>
          <w:szCs w:val="24"/>
        </w:rPr>
        <w:t>ý</w:t>
      </w:r>
      <w:r w:rsidRPr="00417151">
        <w:rPr>
          <w:sz w:val="24"/>
          <w:szCs w:val="24"/>
        </w:rPr>
        <w:t xml:space="preserve"> do pracovného procesu. Účastník je i počas výkonu „</w:t>
      </w:r>
      <w:proofErr w:type="spellStart"/>
      <w:r w:rsidRPr="00417151">
        <w:rPr>
          <w:sz w:val="24"/>
          <w:szCs w:val="24"/>
        </w:rPr>
        <w:t>internshipu</w:t>
      </w:r>
      <w:proofErr w:type="spellEnd"/>
      <w:r w:rsidRPr="00417151">
        <w:rPr>
          <w:sz w:val="24"/>
          <w:szCs w:val="24"/>
        </w:rPr>
        <w:t xml:space="preserve">“ vedený v evidencii uchádzačov o zamestnanie ako disponibilná pracovná sila. </w:t>
      </w:r>
    </w:p>
    <w:p w14:paraId="4D3E068E" w14:textId="77777777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t xml:space="preserve">Výkon na pracovisku v trvaní max.20 hodín týždenne je kombinovaný s osobnou podporou účastníka v rozsahu 10 hodín mesačne. Táto je zameraná na individuálny tréning zručností, ktoré vyžaduje zamestnávateľ a je realizovaný organizáciou zameranou na podporu zamestnanosti ľudí z prostredia MRK (teda tzv. podporná organizácia). </w:t>
      </w:r>
    </w:p>
    <w:p w14:paraId="5F8E63E1" w14:textId="77777777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lastRenderedPageBreak/>
        <w:t>Zmluva o výkone „</w:t>
      </w:r>
      <w:proofErr w:type="spellStart"/>
      <w:r w:rsidRPr="00417151">
        <w:rPr>
          <w:sz w:val="24"/>
          <w:szCs w:val="24"/>
        </w:rPr>
        <w:t>internshipu</w:t>
      </w:r>
      <w:proofErr w:type="spellEnd"/>
      <w:r w:rsidRPr="00417151">
        <w:rPr>
          <w:sz w:val="24"/>
          <w:szCs w:val="24"/>
        </w:rPr>
        <w:t>“ je štvorstranná – ÚPSVaR ako realizátor APTP, zamestnávateľ – ako poskytovateľ tréningovej príležitosti v prostredí reálneho zamestnávateľa, podporná organizácia – ako poskytovateľ ďalších podporných aktivít a účastník.</w:t>
      </w:r>
    </w:p>
    <w:p w14:paraId="749A96F6" w14:textId="77777777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t xml:space="preserve">Zamestnávateľ nemá za účasť na programe žiadne finančnú odmenu, motiváciou zamestnávateľa by mala byť hlavne príležitosť získať lojálnu pracovnú silu. </w:t>
      </w:r>
    </w:p>
    <w:p w14:paraId="699E4E9B" w14:textId="555E3ABA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t>Účastník za účasť dostáva finančnú odmenu – táto môže byť identická s</w:t>
      </w:r>
      <w:r w:rsidR="004778E5">
        <w:rPr>
          <w:sz w:val="24"/>
          <w:szCs w:val="24"/>
        </w:rPr>
        <w:t> </w:t>
      </w:r>
      <w:r w:rsidRPr="00417151">
        <w:rPr>
          <w:sz w:val="24"/>
          <w:szCs w:val="24"/>
        </w:rPr>
        <w:t>príspevkom</w:t>
      </w:r>
      <w:r w:rsidR="004778E5">
        <w:rPr>
          <w:sz w:val="24"/>
          <w:szCs w:val="24"/>
        </w:rPr>
        <w:t>,</w:t>
      </w:r>
      <w:r w:rsidRPr="00417151">
        <w:rPr>
          <w:sz w:val="24"/>
          <w:szCs w:val="24"/>
        </w:rPr>
        <w:t xml:space="preserve"> vyplácaným v rámc</w:t>
      </w:r>
      <w:r w:rsidR="004778E5">
        <w:rPr>
          <w:sz w:val="24"/>
          <w:szCs w:val="24"/>
        </w:rPr>
        <w:t>i a</w:t>
      </w:r>
      <w:r w:rsidR="00024695">
        <w:rPr>
          <w:sz w:val="24"/>
          <w:szCs w:val="24"/>
        </w:rPr>
        <w:t>bsolventskej praxe (čo je 136,63</w:t>
      </w:r>
      <w:r w:rsidRPr="00417151">
        <w:rPr>
          <w:sz w:val="24"/>
          <w:szCs w:val="24"/>
        </w:rPr>
        <w:t xml:space="preserve"> čo je 65% sumy životného minima poskytovaného jednej plnoletej fyzickej osobe podľa zákona č. 601/2003 </w:t>
      </w:r>
      <w:proofErr w:type="spellStart"/>
      <w:r w:rsidRPr="00417151">
        <w:rPr>
          <w:sz w:val="24"/>
          <w:szCs w:val="24"/>
        </w:rPr>
        <w:t>Z.z</w:t>
      </w:r>
      <w:proofErr w:type="spellEnd"/>
      <w:r w:rsidRPr="00417151">
        <w:rPr>
          <w:sz w:val="24"/>
          <w:szCs w:val="24"/>
        </w:rPr>
        <w:t xml:space="preserve">. o životnom minime). V prípade, ak je účastník členom domácnosti, ktorá je poberateľom dávky v hmotnej núdzi, príspevok NESMIE ohroziť príjem dávky v hmotnej núdzi a ostatných možných príspevkov. V prípade, ak je účastník poberateľom dávky v hmotnej núdzi a žije v jednočlennej domácnosti, príspevok môže nahradiť dávku v hmotnej núdzi, avšak v prípade, ak je účastník poberateľom príspevku na bývanie, tak tento by nemal byť ohrozený. </w:t>
      </w:r>
    </w:p>
    <w:p w14:paraId="793A783B" w14:textId="77777777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t>Finančnú odmenu dostáva i podporná organizácia. Odmena by mala v sebe obsahovať platbu za služby a platbu za výsledok. Mesačná platba za služby zamerané na osobnú podporu klienta môže byť vo výške 103,5 Euro</w:t>
      </w:r>
      <w:r w:rsidRPr="00417151">
        <w:rPr>
          <w:rStyle w:val="Odkaznapoznmkupodiarou"/>
          <w:sz w:val="24"/>
          <w:szCs w:val="24"/>
        </w:rPr>
        <w:footnoteReference w:id="2"/>
      </w:r>
      <w:r w:rsidRPr="00417151">
        <w:rPr>
          <w:sz w:val="24"/>
          <w:szCs w:val="24"/>
        </w:rPr>
        <w:t xml:space="preserve"> za klienta za mesiac. Motivačná zložka by bola vyplatená v prípade, ak po ukončení </w:t>
      </w:r>
      <w:proofErr w:type="spellStart"/>
      <w:r w:rsidRPr="00417151">
        <w:rPr>
          <w:sz w:val="24"/>
          <w:szCs w:val="24"/>
        </w:rPr>
        <w:t>internshipu</w:t>
      </w:r>
      <w:proofErr w:type="spellEnd"/>
      <w:r w:rsidRPr="00417151">
        <w:rPr>
          <w:sz w:val="24"/>
          <w:szCs w:val="24"/>
        </w:rPr>
        <w:t xml:space="preserve"> zamestnávateľ s účastníkom podpíše pracovnú zmluvu buď na dobu neurčitú alebo na dobu určitú v trvaní minimálne 12 mesiacov. Motivačná čiastka by sa rovnala výške mesačnej platby. Vzhľadom na fakt, že maximálne trvanie </w:t>
      </w:r>
      <w:proofErr w:type="spellStart"/>
      <w:r w:rsidRPr="00417151">
        <w:rPr>
          <w:sz w:val="24"/>
          <w:szCs w:val="24"/>
        </w:rPr>
        <w:t>internshipu</w:t>
      </w:r>
      <w:proofErr w:type="spellEnd"/>
      <w:r w:rsidRPr="00417151">
        <w:rPr>
          <w:sz w:val="24"/>
          <w:szCs w:val="24"/>
        </w:rPr>
        <w:t xml:space="preserve"> by bolo 3 mesiace, maximálne náklady na podporné aktivity klienta pri dodržaní navrhovanej sumy by sa rovnali sume 414 eur.</w:t>
      </w:r>
    </w:p>
    <w:p w14:paraId="53236D2A" w14:textId="77777777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t>V prípade vynechávanej účasti na pracovisku (u zamestnávateľa) by bola výška príspevku tak pre účastníka ako aj pre podpornú organizáciu úmerne krátená.</w:t>
      </w:r>
    </w:p>
    <w:p w14:paraId="111FB64F" w14:textId="7218684B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t>V prípade dodržania navrhovanej výšky podpory (</w:t>
      </w:r>
      <w:r w:rsidR="00024695">
        <w:rPr>
          <w:sz w:val="24"/>
          <w:szCs w:val="24"/>
        </w:rPr>
        <w:t>136,63</w:t>
      </w:r>
      <w:r w:rsidRPr="00417151">
        <w:rPr>
          <w:sz w:val="24"/>
          <w:szCs w:val="24"/>
        </w:rPr>
        <w:t xml:space="preserve"> eur pre účastníka/mesiac a 103,5 pre podpornú organizáciu/mesiac + motivačná zložka) maximálna výška výdavku z verejných zdrojov predstavovala 823,29.- eur za klienta.</w:t>
      </w:r>
    </w:p>
    <w:p w14:paraId="08A1A435" w14:textId="77777777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t xml:space="preserve">Samotné opatrenie je možné realizovať aj bez legislatívnych úprav (je možné ho realizovať v zmysle § 54 zákona 5/2004 </w:t>
      </w:r>
      <w:proofErr w:type="spellStart"/>
      <w:r w:rsidRPr="00417151">
        <w:rPr>
          <w:sz w:val="24"/>
          <w:szCs w:val="24"/>
        </w:rPr>
        <w:t>Z.z</w:t>
      </w:r>
      <w:proofErr w:type="spellEnd"/>
      <w:r w:rsidRPr="00417151">
        <w:rPr>
          <w:sz w:val="24"/>
          <w:szCs w:val="24"/>
        </w:rPr>
        <w:t xml:space="preserve">. o službách zamestnanosti „projekty a programy).  Realizácia podobných opatrení prostredníctvom §54 je však nestabilná a trvá len počas podpory daného projektu. Nie je však vylúčené aby opatrenie bolo prostredníctvom §54 </w:t>
      </w:r>
      <w:proofErr w:type="spellStart"/>
      <w:r w:rsidRPr="00417151">
        <w:rPr>
          <w:sz w:val="24"/>
          <w:szCs w:val="24"/>
        </w:rPr>
        <w:t>pilotne</w:t>
      </w:r>
      <w:proofErr w:type="spellEnd"/>
      <w:r w:rsidRPr="00417151">
        <w:rPr>
          <w:sz w:val="24"/>
          <w:szCs w:val="24"/>
        </w:rPr>
        <w:t xml:space="preserve"> overené, toto by dokonca bolo vhodné.</w:t>
      </w:r>
    </w:p>
    <w:p w14:paraId="3C253EE0" w14:textId="77777777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lastRenderedPageBreak/>
        <w:t>Z dlhodobého hľadiska je však potrebné, aby realizácia navrhovaného opatrenia bola podporená novelou dvoch zákonov, konkrétne:</w:t>
      </w:r>
    </w:p>
    <w:p w14:paraId="7BE9E4FF" w14:textId="77777777" w:rsidR="00417151" w:rsidRPr="00417151" w:rsidRDefault="00417151" w:rsidP="00417151">
      <w:pPr>
        <w:pStyle w:val="Odsekzoznamu"/>
        <w:numPr>
          <w:ilvl w:val="0"/>
          <w:numId w:val="2"/>
        </w:numPr>
        <w:suppressAutoHyphens w:val="0"/>
        <w:spacing w:after="160" w:line="259" w:lineRule="auto"/>
        <w:jc w:val="both"/>
        <w:rPr>
          <w:sz w:val="24"/>
          <w:szCs w:val="24"/>
        </w:rPr>
      </w:pPr>
      <w:r w:rsidRPr="00417151">
        <w:rPr>
          <w:sz w:val="24"/>
          <w:szCs w:val="24"/>
        </w:rPr>
        <w:t xml:space="preserve">Zákon 417/2003 </w:t>
      </w:r>
      <w:proofErr w:type="spellStart"/>
      <w:r w:rsidRPr="00417151">
        <w:rPr>
          <w:sz w:val="24"/>
          <w:szCs w:val="24"/>
        </w:rPr>
        <w:t>Z.z</w:t>
      </w:r>
      <w:proofErr w:type="spellEnd"/>
      <w:r w:rsidRPr="00417151">
        <w:rPr>
          <w:sz w:val="24"/>
          <w:szCs w:val="24"/>
        </w:rPr>
        <w:t>. o pomoci v hmotnej núdzi v znení neskorších predpisov</w:t>
      </w:r>
    </w:p>
    <w:p w14:paraId="570311BB" w14:textId="77777777" w:rsidR="00417151" w:rsidRPr="00417151" w:rsidRDefault="00417151" w:rsidP="00417151">
      <w:pPr>
        <w:pStyle w:val="Odsekzoznamu"/>
        <w:jc w:val="both"/>
        <w:rPr>
          <w:sz w:val="24"/>
          <w:szCs w:val="24"/>
        </w:rPr>
      </w:pPr>
      <w:r w:rsidRPr="00417151">
        <w:rPr>
          <w:sz w:val="24"/>
          <w:szCs w:val="24"/>
        </w:rPr>
        <w:t>§4, ktorý definuje čo príjem nie je, vo svojom odseku 3 písm. k.) hovorí :</w:t>
      </w:r>
    </w:p>
    <w:p w14:paraId="2BCC1FF5" w14:textId="77777777" w:rsidR="00417151" w:rsidRPr="00417151" w:rsidRDefault="00417151" w:rsidP="00417151">
      <w:pPr>
        <w:pStyle w:val="Odsekzoznamu"/>
        <w:jc w:val="both"/>
        <w:rPr>
          <w:rFonts w:ascii="Segoe UI" w:hAnsi="Segoe UI" w:cs="Segoe UI"/>
          <w:color w:val="494949"/>
          <w:sz w:val="24"/>
          <w:szCs w:val="24"/>
          <w:shd w:val="clear" w:color="auto" w:fill="FFFFFF"/>
        </w:rPr>
      </w:pPr>
      <w:r w:rsidRPr="00417151">
        <w:rPr>
          <w:sz w:val="24"/>
          <w:szCs w:val="24"/>
        </w:rPr>
        <w:t xml:space="preserve">(za príjem sa nepovažuje) </w:t>
      </w:r>
      <w:r w:rsidRPr="00417151">
        <w:rPr>
          <w:i/>
          <w:sz w:val="24"/>
          <w:szCs w:val="24"/>
        </w:rPr>
        <w:t>„finančné príspevky poskytované na základe účasti v projektoch alebo programoch podporujúcich uplatnenie sa na trhu práce v úhrne najviac do výšky 75 % sumy životného minima pre jednu plnoletú fyzickú osobu“</w:t>
      </w:r>
    </w:p>
    <w:p w14:paraId="50F2B87E" w14:textId="77777777" w:rsidR="00417151" w:rsidRPr="00417151" w:rsidRDefault="00417151" w:rsidP="00417151">
      <w:pPr>
        <w:pStyle w:val="Odsekzoznamu"/>
        <w:jc w:val="both"/>
        <w:rPr>
          <w:sz w:val="24"/>
          <w:szCs w:val="24"/>
        </w:rPr>
      </w:pPr>
      <w:r w:rsidRPr="00417151">
        <w:rPr>
          <w:sz w:val="24"/>
          <w:szCs w:val="24"/>
        </w:rPr>
        <w:t xml:space="preserve">V prípade, ak je príspevok za účasť na programe vyplácaný vo výške 65% životného minima (tak ako to je v prípade absolventskej praxe a ako to navrhujeme v prípade </w:t>
      </w:r>
      <w:proofErr w:type="spellStart"/>
      <w:r w:rsidRPr="00417151">
        <w:rPr>
          <w:sz w:val="24"/>
          <w:szCs w:val="24"/>
        </w:rPr>
        <w:t>internshipu</w:t>
      </w:r>
      <w:proofErr w:type="spellEnd"/>
      <w:r w:rsidRPr="00417151">
        <w:rPr>
          <w:sz w:val="24"/>
          <w:szCs w:val="24"/>
        </w:rPr>
        <w:t xml:space="preserve">) je potrebné zabezpečiť a garantovať aby sa tento príjem v zmysle zákona 417/2003 za príjem naozaj nepovažoval a nebol započítavaný do celkového príjmu domácnosti, na základe čoho sa vypočítava výška dávky v hmotnej núdzi (konflikt môže nastať napr. v prípade, ak </w:t>
      </w:r>
      <w:proofErr w:type="spellStart"/>
      <w:r w:rsidRPr="00417151">
        <w:rPr>
          <w:sz w:val="24"/>
          <w:szCs w:val="24"/>
        </w:rPr>
        <w:t>internship</w:t>
      </w:r>
      <w:proofErr w:type="spellEnd"/>
      <w:r w:rsidRPr="00417151">
        <w:rPr>
          <w:sz w:val="24"/>
          <w:szCs w:val="24"/>
        </w:rPr>
        <w:t xml:space="preserve"> nebude vykonávaný ako projekt alebo program ale ako samostatné opatrenie APTP).</w:t>
      </w:r>
    </w:p>
    <w:p w14:paraId="0A9CA659" w14:textId="77777777" w:rsidR="00417151" w:rsidRPr="00417151" w:rsidRDefault="00417151" w:rsidP="00417151">
      <w:pPr>
        <w:pStyle w:val="Odsekzoznamu"/>
        <w:jc w:val="both"/>
        <w:rPr>
          <w:sz w:val="24"/>
          <w:szCs w:val="24"/>
        </w:rPr>
      </w:pPr>
      <w:r w:rsidRPr="00417151">
        <w:rPr>
          <w:sz w:val="24"/>
          <w:szCs w:val="24"/>
        </w:rPr>
        <w:t xml:space="preserve">V prípade, ak toto zákonodarca nevie garantovať, je potrebné text písmena k.) paragrafu 4 novelizovať a doplniť, že príspevok za výkon </w:t>
      </w:r>
      <w:proofErr w:type="spellStart"/>
      <w:r w:rsidRPr="00417151">
        <w:rPr>
          <w:sz w:val="24"/>
          <w:szCs w:val="24"/>
        </w:rPr>
        <w:t>internshipu</w:t>
      </w:r>
      <w:proofErr w:type="spellEnd"/>
      <w:r w:rsidRPr="00417151">
        <w:rPr>
          <w:sz w:val="24"/>
          <w:szCs w:val="24"/>
        </w:rPr>
        <w:t xml:space="preserve"> nie je započítaný.</w:t>
      </w:r>
    </w:p>
    <w:p w14:paraId="36A65F60" w14:textId="77777777" w:rsidR="00417151" w:rsidRPr="00417151" w:rsidRDefault="00417151" w:rsidP="00417151">
      <w:pPr>
        <w:pStyle w:val="Odsekzoznamu"/>
        <w:jc w:val="both"/>
        <w:rPr>
          <w:sz w:val="24"/>
          <w:szCs w:val="24"/>
        </w:rPr>
      </w:pPr>
    </w:p>
    <w:p w14:paraId="27A5C4D0" w14:textId="77777777" w:rsidR="00417151" w:rsidRPr="00417151" w:rsidRDefault="00417151" w:rsidP="00417151">
      <w:pPr>
        <w:pStyle w:val="Odsekzoznamu"/>
        <w:numPr>
          <w:ilvl w:val="0"/>
          <w:numId w:val="2"/>
        </w:numPr>
        <w:suppressAutoHyphens w:val="0"/>
        <w:spacing w:after="160" w:line="259" w:lineRule="auto"/>
        <w:jc w:val="both"/>
        <w:rPr>
          <w:sz w:val="24"/>
          <w:szCs w:val="24"/>
        </w:rPr>
      </w:pPr>
      <w:r w:rsidRPr="00417151">
        <w:rPr>
          <w:sz w:val="24"/>
          <w:szCs w:val="24"/>
        </w:rPr>
        <w:t xml:space="preserve">Zákon 5/2004 o službách v zamestnanosti v zmysle neskorších predpisoch </w:t>
      </w:r>
    </w:p>
    <w:p w14:paraId="1D7C185C" w14:textId="77777777" w:rsidR="00417151" w:rsidRPr="00417151" w:rsidRDefault="00417151" w:rsidP="00417151">
      <w:pPr>
        <w:pStyle w:val="Odsekzoznamu"/>
        <w:jc w:val="both"/>
        <w:rPr>
          <w:sz w:val="24"/>
          <w:szCs w:val="24"/>
        </w:rPr>
      </w:pPr>
      <w:r w:rsidRPr="00417151">
        <w:rPr>
          <w:sz w:val="24"/>
          <w:szCs w:val="24"/>
        </w:rPr>
        <w:t>Doplniť  § 52b</w:t>
      </w:r>
      <w:r w:rsidRPr="00417151">
        <w:rPr>
          <w:rStyle w:val="Odkaznapoznmkupodiarou"/>
          <w:sz w:val="24"/>
          <w:szCs w:val="24"/>
        </w:rPr>
        <w:footnoteReference w:id="3"/>
      </w:r>
      <w:r w:rsidRPr="00417151">
        <w:rPr>
          <w:sz w:val="24"/>
          <w:szCs w:val="24"/>
        </w:rPr>
        <w:t xml:space="preserve"> „Príspevok na aktivačnú činnosť formou </w:t>
      </w:r>
      <w:proofErr w:type="spellStart"/>
      <w:r w:rsidRPr="00417151">
        <w:rPr>
          <w:sz w:val="24"/>
          <w:szCs w:val="24"/>
        </w:rPr>
        <w:t>internshipu</w:t>
      </w:r>
      <w:proofErr w:type="spellEnd"/>
      <w:r w:rsidRPr="00417151">
        <w:rPr>
          <w:sz w:val="24"/>
          <w:szCs w:val="24"/>
        </w:rPr>
        <w:t xml:space="preserve">“. Tento by definoval realizáciu </w:t>
      </w:r>
      <w:proofErr w:type="spellStart"/>
      <w:r w:rsidRPr="00417151">
        <w:rPr>
          <w:sz w:val="24"/>
          <w:szCs w:val="24"/>
        </w:rPr>
        <w:t>internshipu</w:t>
      </w:r>
      <w:proofErr w:type="spellEnd"/>
      <w:r w:rsidRPr="00417151">
        <w:rPr>
          <w:sz w:val="24"/>
          <w:szCs w:val="24"/>
        </w:rPr>
        <w:t xml:space="preserve"> tak, ako je uvedené vyššie. Bolo by ideálne, ak by mal príspevok obligatórny charakter. </w:t>
      </w:r>
    </w:p>
    <w:p w14:paraId="3CBF4F1F" w14:textId="3EAFA1A1" w:rsidR="00417151" w:rsidRPr="00417151" w:rsidRDefault="00417151" w:rsidP="00417151">
      <w:pPr>
        <w:jc w:val="both"/>
        <w:rPr>
          <w:sz w:val="24"/>
          <w:szCs w:val="24"/>
        </w:rPr>
      </w:pPr>
      <w:r w:rsidRPr="00417151">
        <w:rPr>
          <w:sz w:val="24"/>
          <w:szCs w:val="24"/>
        </w:rPr>
        <w:t xml:space="preserve">Návrhy boli formulované v rámci projektu „Lepšie verejné politiky pre MRK“, ktorý realizuje organizácia Človek v ohrození, </w:t>
      </w:r>
      <w:proofErr w:type="spellStart"/>
      <w:r w:rsidRPr="00417151">
        <w:rPr>
          <w:sz w:val="24"/>
          <w:szCs w:val="24"/>
        </w:rPr>
        <w:t>n.o</w:t>
      </w:r>
      <w:proofErr w:type="spellEnd"/>
      <w:r w:rsidRPr="00417151">
        <w:rPr>
          <w:sz w:val="24"/>
          <w:szCs w:val="24"/>
        </w:rPr>
        <w:t xml:space="preserve">. prostredníctvom operačného programu Efektívna verejná správa. </w:t>
      </w:r>
    </w:p>
    <w:p w14:paraId="38D3E3B1" w14:textId="4DC8FC6F" w:rsidR="00417151" w:rsidRDefault="00417151" w:rsidP="00417151">
      <w:pPr>
        <w:jc w:val="both"/>
        <w:rPr>
          <w:sz w:val="24"/>
          <w:szCs w:val="24"/>
        </w:rPr>
      </w:pPr>
    </w:p>
    <w:p w14:paraId="124B3FF7" w14:textId="5DC06447" w:rsidR="00417151" w:rsidRDefault="00417151" w:rsidP="00417151">
      <w:pPr>
        <w:jc w:val="both"/>
        <w:rPr>
          <w:sz w:val="24"/>
          <w:szCs w:val="24"/>
        </w:rPr>
      </w:pPr>
      <w:r>
        <w:rPr>
          <w:sz w:val="24"/>
          <w:szCs w:val="24"/>
        </w:rPr>
        <w:t>V Bratislave, dňa: 31.3.2020</w:t>
      </w:r>
    </w:p>
    <w:p w14:paraId="56D74F83" w14:textId="662964DB" w:rsidR="00417151" w:rsidRDefault="00417151" w:rsidP="00417151">
      <w:pPr>
        <w:jc w:val="both"/>
        <w:rPr>
          <w:sz w:val="24"/>
          <w:szCs w:val="24"/>
        </w:rPr>
      </w:pPr>
      <w:r>
        <w:rPr>
          <w:sz w:val="24"/>
          <w:szCs w:val="24"/>
        </w:rPr>
        <w:t>Michaela Mudroňová</w:t>
      </w:r>
    </w:p>
    <w:p w14:paraId="5D0F01B8" w14:textId="7735E788" w:rsidR="00417151" w:rsidRPr="00417151" w:rsidRDefault="004A7BBC" w:rsidP="004171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Koordinátorka </w:t>
      </w:r>
      <w:bookmarkStart w:id="0" w:name="_GoBack"/>
      <w:bookmarkEnd w:id="0"/>
      <w:r w:rsidR="00417151">
        <w:rPr>
          <w:sz w:val="24"/>
          <w:szCs w:val="24"/>
        </w:rPr>
        <w:t>v oblasti zamestnávania</w:t>
      </w:r>
    </w:p>
    <w:p w14:paraId="4DC3282A" w14:textId="77777777" w:rsidR="00417151" w:rsidRDefault="00417151" w:rsidP="00417151">
      <w:pPr>
        <w:rPr>
          <w:sz w:val="24"/>
          <w:szCs w:val="24"/>
        </w:rPr>
      </w:pPr>
    </w:p>
    <w:p w14:paraId="0EC06C30" w14:textId="22A2307D" w:rsidR="00193DD0" w:rsidRPr="00417151" w:rsidRDefault="00417151" w:rsidP="00193DD0">
      <w:pPr>
        <w:rPr>
          <w:sz w:val="24"/>
          <w:szCs w:val="24"/>
        </w:rPr>
      </w:pPr>
      <w:r w:rsidRPr="00DD0B98">
        <w:rPr>
          <w:sz w:val="24"/>
          <w:szCs w:val="24"/>
        </w:rPr>
        <w:t>Tento projekt je podporený z Európskeho sociálneho fondu z Operačného programu Efektívna verejná správa.</w:t>
      </w:r>
    </w:p>
    <w:sectPr w:rsidR="00193DD0" w:rsidRPr="00417151">
      <w:headerReference w:type="default" r:id="rId7"/>
      <w:footerReference w:type="default" r:id="rId8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60946" w14:textId="77777777" w:rsidR="00054485" w:rsidRDefault="00054485">
      <w:pPr>
        <w:spacing w:after="0" w:line="240" w:lineRule="auto"/>
      </w:pPr>
      <w:r>
        <w:separator/>
      </w:r>
    </w:p>
  </w:endnote>
  <w:endnote w:type="continuationSeparator" w:id="0">
    <w:p w14:paraId="39784CCF" w14:textId="77777777" w:rsidR="00054485" w:rsidRDefault="0005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054485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CE198" w14:textId="77777777" w:rsidR="00054485" w:rsidRDefault="00054485">
      <w:pPr>
        <w:spacing w:after="0" w:line="240" w:lineRule="auto"/>
      </w:pPr>
      <w:r>
        <w:separator/>
      </w:r>
    </w:p>
  </w:footnote>
  <w:footnote w:type="continuationSeparator" w:id="0">
    <w:p w14:paraId="7FF73A56" w14:textId="77777777" w:rsidR="00054485" w:rsidRDefault="00054485">
      <w:pPr>
        <w:spacing w:after="0" w:line="240" w:lineRule="auto"/>
      </w:pPr>
      <w:r>
        <w:continuationSeparator/>
      </w:r>
    </w:p>
  </w:footnote>
  <w:footnote w:id="1">
    <w:p w14:paraId="4B249B0F" w14:textId="77777777" w:rsidR="00417151" w:rsidRPr="00216597" w:rsidRDefault="00417151" w:rsidP="00417151">
      <w:pPr>
        <w:pStyle w:val="Textpoznmkypodiarou"/>
      </w:pPr>
      <w:r>
        <w:rPr>
          <w:rStyle w:val="Odkaznapoznmkupodiarou"/>
        </w:rPr>
        <w:footnoteRef/>
      </w:r>
      <w:r>
        <w:t xml:space="preserve"> Maximálny doba trvania prechodného zamestnávania v prostredí sociálneho podniku je podmienená situáciou konkrétneho znevýhodneného zamestnanca a vyplýva zo zákona 112/2018 o sociálnej ekonomike a sociálnych podnikoch</w:t>
      </w:r>
    </w:p>
  </w:footnote>
  <w:footnote w:id="2">
    <w:p w14:paraId="565D7BC5" w14:textId="77777777" w:rsidR="00417151" w:rsidRPr="00D9524A" w:rsidRDefault="00417151" w:rsidP="00417151">
      <w:pPr>
        <w:spacing w:after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D9524A">
        <w:t xml:space="preserve">Navrhovaná výška platby vychádza z predpokladu, že jeden zamestnanec podpornej organizácie sa mesačne dokáže venovať max, 15 klientom mesačne (10 hodín klient s 15 klientov + 10 hodín ostatné súvisiace činnosti = 160 hodín). Vychádzajúc z celkovej ceny práce poradcu vypočítanej z priemernej mzdy v hospodárstve SR, ktorá predstavuje cca 1 350 €, ku ktorej sa pripočíta paušálna čiastka vo výške 15 % určená na náklady ako prenájom priestorov, kancelárske vybavenie, telefón, stravné lístky, príp. iné, by mesačné náklady na jedného klienta mohli predstavovať </w:t>
      </w:r>
    </w:p>
    <w:p w14:paraId="5B620EEE" w14:textId="77777777" w:rsidR="00417151" w:rsidRDefault="00417151" w:rsidP="00417151">
      <w:pPr>
        <w:pStyle w:val="Textpoznmkypodiarou"/>
      </w:pPr>
    </w:p>
  </w:footnote>
  <w:footnote w:id="3">
    <w:p w14:paraId="5BE39C8C" w14:textId="77777777" w:rsidR="00417151" w:rsidRDefault="00417151" w:rsidP="00417151">
      <w:pPr>
        <w:pStyle w:val="Nadpis3"/>
        <w:shd w:val="clear" w:color="auto" w:fill="FFFFFF"/>
        <w:spacing w:before="0" w:line="330" w:lineRule="atLeast"/>
        <w:rPr>
          <w:rFonts w:ascii="Arial" w:hAnsi="Arial" w:cs="Arial"/>
          <w:color w:val="08A8F8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D36E21">
        <w:rPr>
          <w:rFonts w:asciiTheme="minorHAnsi" w:eastAsiaTheme="minorHAnsi" w:hAnsiTheme="minorHAnsi" w:cstheme="minorBidi"/>
        </w:rPr>
        <w:t>§ 52b doposiaľ neexistuje, §52 je  „Príspevok na aktivačnú činnosť formou menších obecných služieb pre obec alebo formou menších služieb pre samosprávny kraj</w:t>
      </w:r>
      <w:r>
        <w:rPr>
          <w:rFonts w:asciiTheme="minorHAnsi" w:eastAsiaTheme="minorHAnsi" w:hAnsiTheme="minorHAnsi" w:cstheme="minorBidi"/>
        </w:rPr>
        <w:t xml:space="preserve">“, </w:t>
      </w:r>
      <w:r w:rsidRPr="00EE18C2">
        <w:rPr>
          <w:rFonts w:asciiTheme="minorHAnsi" w:eastAsiaTheme="minorHAnsi" w:hAnsiTheme="minorHAnsi" w:cstheme="minorBidi"/>
        </w:rPr>
        <w:t xml:space="preserve">§52a je </w:t>
      </w:r>
      <w:r>
        <w:rPr>
          <w:rFonts w:asciiTheme="minorHAnsi" w:eastAsiaTheme="minorHAnsi" w:hAnsiTheme="minorHAnsi" w:cstheme="minorBidi"/>
        </w:rPr>
        <w:t>„</w:t>
      </w:r>
      <w:r w:rsidRPr="00EE18C2">
        <w:rPr>
          <w:rFonts w:asciiTheme="minorHAnsi" w:eastAsiaTheme="minorHAnsi" w:hAnsiTheme="minorHAnsi" w:cstheme="minorBidi"/>
        </w:rPr>
        <w:t>Príspevok na aktivačnú činnosť formou dobrovoľníckej služby</w:t>
      </w:r>
      <w:r>
        <w:rPr>
          <w:rFonts w:asciiTheme="minorHAnsi" w:eastAsiaTheme="minorHAnsi" w:hAnsiTheme="minorHAnsi" w:cstheme="minorBidi"/>
        </w:rPr>
        <w:t>“</w:t>
      </w:r>
    </w:p>
    <w:p w14:paraId="45F989C4" w14:textId="77777777" w:rsidR="00417151" w:rsidRPr="00EE18C2" w:rsidRDefault="00417151" w:rsidP="00417151">
      <w:pPr>
        <w:pStyle w:val="Nadpis3"/>
        <w:shd w:val="clear" w:color="auto" w:fill="FFFFFF"/>
        <w:spacing w:before="0" w:line="330" w:lineRule="atLeast"/>
        <w:rPr>
          <w:rFonts w:ascii="Arial" w:hAnsi="Arial" w:cs="Arial"/>
          <w:color w:val="08A8F8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F665E4"/>
    <w:multiLevelType w:val="hybridMultilevel"/>
    <w:tmpl w:val="1D4AF16A"/>
    <w:lvl w:ilvl="0" w:tplc="43D80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24695"/>
    <w:rsid w:val="00054485"/>
    <w:rsid w:val="000970E3"/>
    <w:rsid w:val="00145108"/>
    <w:rsid w:val="00170B16"/>
    <w:rsid w:val="00193DD0"/>
    <w:rsid w:val="001C3CC6"/>
    <w:rsid w:val="002236A6"/>
    <w:rsid w:val="0026269E"/>
    <w:rsid w:val="002860E4"/>
    <w:rsid w:val="002B2151"/>
    <w:rsid w:val="002C4A68"/>
    <w:rsid w:val="003008E0"/>
    <w:rsid w:val="00326FE1"/>
    <w:rsid w:val="003D512C"/>
    <w:rsid w:val="00417151"/>
    <w:rsid w:val="004778E5"/>
    <w:rsid w:val="004A7BBC"/>
    <w:rsid w:val="004F0F00"/>
    <w:rsid w:val="00694F23"/>
    <w:rsid w:val="0075295A"/>
    <w:rsid w:val="00755F24"/>
    <w:rsid w:val="007E1E94"/>
    <w:rsid w:val="008447FD"/>
    <w:rsid w:val="00854AC9"/>
    <w:rsid w:val="008A0BC3"/>
    <w:rsid w:val="009C738D"/>
    <w:rsid w:val="009F04E2"/>
    <w:rsid w:val="00A84DF1"/>
    <w:rsid w:val="00B75633"/>
    <w:rsid w:val="00C41684"/>
    <w:rsid w:val="00C74030"/>
    <w:rsid w:val="00CB5A9D"/>
    <w:rsid w:val="00D37AB6"/>
    <w:rsid w:val="00D73183"/>
    <w:rsid w:val="00E37974"/>
    <w:rsid w:val="00E73CED"/>
    <w:rsid w:val="00EC59F0"/>
    <w:rsid w:val="00F135DB"/>
    <w:rsid w:val="00F14DB9"/>
    <w:rsid w:val="00FA35FA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Tabukasmriekou5tmavzvraznenie4">
    <w:name w:val="Grid Table 5 Dark Accent 4"/>
    <w:basedOn w:val="Normlnatabuka"/>
    <w:uiPriority w:val="50"/>
    <w:rsid w:val="004171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151"/>
    <w:pPr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7151"/>
    <w:rPr>
      <w:rFonts w:asciiTheme="minorHAnsi" w:eastAsiaTheme="minorHAnsi" w:hAnsiTheme="minorHAnsi" w:cstheme="minorBidi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7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Tichy</dc:creator>
  <cp:lastModifiedBy>Michaela Mudroňová</cp:lastModifiedBy>
  <cp:revision>6</cp:revision>
  <cp:lastPrinted>2020-08-14T09:03:00Z</cp:lastPrinted>
  <dcterms:created xsi:type="dcterms:W3CDTF">2020-10-29T09:52:00Z</dcterms:created>
  <dcterms:modified xsi:type="dcterms:W3CDTF">2020-11-06T12:18:00Z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