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ukasmriekou5tmavzvraznenie4"/>
        <w:tblW w:w="0" w:type="auto"/>
        <w:tblLook w:val="04A0" w:firstRow="1" w:lastRow="0" w:firstColumn="1" w:lastColumn="0" w:noHBand="0" w:noVBand="1"/>
      </w:tblPr>
      <w:tblGrid>
        <w:gridCol w:w="2259"/>
        <w:gridCol w:w="6777"/>
      </w:tblGrid>
      <w:tr w:rsidR="008B416C" w:rsidRPr="008B416C" w:rsidTr="00B10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8B416C" w:rsidRPr="008B416C" w:rsidRDefault="008B416C" w:rsidP="008B416C">
            <w:pPr>
              <w:suppressAutoHyphens/>
              <w:spacing w:after="200" w:line="276" w:lineRule="auto"/>
              <w:rPr>
                <w:rFonts w:eastAsia="Times New Roman"/>
                <w:sz w:val="20"/>
                <w:szCs w:val="20"/>
              </w:rPr>
            </w:pPr>
            <w:bookmarkStart w:id="0" w:name="page1"/>
            <w:bookmarkEnd w:id="0"/>
            <w:r w:rsidRPr="008B416C">
              <w:rPr>
                <w:rFonts w:eastAsia="Times New Roman"/>
                <w:sz w:val="20"/>
                <w:szCs w:val="20"/>
              </w:rPr>
              <w:t>Projekt:</w:t>
            </w:r>
          </w:p>
        </w:tc>
        <w:tc>
          <w:tcPr>
            <w:tcW w:w="6799" w:type="dxa"/>
          </w:tcPr>
          <w:p w:rsidR="008B416C" w:rsidRPr="008B416C" w:rsidRDefault="008B416C" w:rsidP="008B416C">
            <w:pPr>
              <w:suppressAutoHyphens/>
              <w:spacing w:after="200"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sz w:val="20"/>
                <w:szCs w:val="20"/>
              </w:rPr>
            </w:pPr>
            <w:r w:rsidRPr="008B416C">
              <w:rPr>
                <w:rFonts w:eastAsia="Times New Roman"/>
                <w:sz w:val="20"/>
                <w:szCs w:val="20"/>
              </w:rPr>
              <w:t>Lepšie verejné politiky pre marginalizované rómske komunity</w:t>
            </w:r>
          </w:p>
        </w:tc>
      </w:tr>
      <w:tr w:rsidR="008B416C" w:rsidRPr="008B416C" w:rsidTr="00B10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8B416C" w:rsidRPr="008B416C" w:rsidRDefault="008B416C" w:rsidP="008B416C">
            <w:pPr>
              <w:suppressAutoHyphens/>
              <w:spacing w:after="200" w:line="276" w:lineRule="auto"/>
              <w:rPr>
                <w:rFonts w:eastAsia="Times New Roman"/>
                <w:sz w:val="20"/>
                <w:szCs w:val="20"/>
              </w:rPr>
            </w:pPr>
            <w:r w:rsidRPr="008B416C">
              <w:rPr>
                <w:rFonts w:eastAsia="Times New Roman"/>
                <w:sz w:val="20"/>
                <w:szCs w:val="20"/>
              </w:rPr>
              <w:t>Organizácia:</w:t>
            </w:r>
          </w:p>
        </w:tc>
        <w:tc>
          <w:tcPr>
            <w:tcW w:w="6799" w:type="dxa"/>
          </w:tcPr>
          <w:p w:rsidR="008B416C" w:rsidRPr="008B416C" w:rsidRDefault="008B416C" w:rsidP="008B416C">
            <w:pPr>
              <w:suppressAutoHyphens/>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B416C">
              <w:rPr>
                <w:rFonts w:eastAsia="Times New Roman"/>
                <w:sz w:val="20"/>
                <w:szCs w:val="20"/>
              </w:rPr>
              <w:t>Človek v ohrození, n. o.</w:t>
            </w:r>
          </w:p>
        </w:tc>
      </w:tr>
      <w:tr w:rsidR="008B416C" w:rsidRPr="008B416C" w:rsidTr="00B109B4">
        <w:tc>
          <w:tcPr>
            <w:cnfStyle w:val="001000000000" w:firstRow="0" w:lastRow="0" w:firstColumn="1" w:lastColumn="0" w:oddVBand="0" w:evenVBand="0" w:oddHBand="0" w:evenHBand="0" w:firstRowFirstColumn="0" w:firstRowLastColumn="0" w:lastRowFirstColumn="0" w:lastRowLastColumn="0"/>
            <w:tcW w:w="2263" w:type="dxa"/>
          </w:tcPr>
          <w:p w:rsidR="008B416C" w:rsidRPr="008B416C" w:rsidRDefault="008B416C" w:rsidP="008B416C">
            <w:pPr>
              <w:suppressAutoHyphens/>
              <w:spacing w:after="200" w:line="276" w:lineRule="auto"/>
              <w:rPr>
                <w:rFonts w:eastAsia="Times New Roman"/>
                <w:sz w:val="20"/>
                <w:szCs w:val="20"/>
              </w:rPr>
            </w:pPr>
            <w:r w:rsidRPr="008B416C">
              <w:rPr>
                <w:rFonts w:eastAsia="Times New Roman"/>
                <w:sz w:val="20"/>
                <w:szCs w:val="20"/>
              </w:rPr>
              <w:t>Operačný program:</w:t>
            </w:r>
          </w:p>
        </w:tc>
        <w:tc>
          <w:tcPr>
            <w:tcW w:w="6799" w:type="dxa"/>
          </w:tcPr>
          <w:p w:rsidR="008B416C" w:rsidRPr="008B416C" w:rsidRDefault="008B416C" w:rsidP="008B416C">
            <w:pPr>
              <w:suppressAutoHyphens/>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B416C">
              <w:rPr>
                <w:rFonts w:eastAsia="Times New Roman"/>
                <w:sz w:val="20"/>
                <w:szCs w:val="20"/>
              </w:rPr>
              <w:t>Efektívna verejná správa</w:t>
            </w:r>
          </w:p>
        </w:tc>
      </w:tr>
      <w:tr w:rsidR="008B416C" w:rsidRPr="008B416C" w:rsidTr="00B10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8B416C" w:rsidRPr="008B416C" w:rsidRDefault="008B416C" w:rsidP="008B416C">
            <w:pPr>
              <w:suppressAutoHyphens/>
              <w:spacing w:after="200" w:line="276" w:lineRule="auto"/>
              <w:rPr>
                <w:rFonts w:eastAsia="Times New Roman"/>
                <w:sz w:val="20"/>
                <w:szCs w:val="20"/>
              </w:rPr>
            </w:pPr>
            <w:r w:rsidRPr="008B416C">
              <w:rPr>
                <w:rFonts w:eastAsia="Times New Roman"/>
                <w:sz w:val="20"/>
                <w:szCs w:val="20"/>
              </w:rPr>
              <w:t>Kód žiadosti o NFP:</w:t>
            </w:r>
          </w:p>
        </w:tc>
        <w:tc>
          <w:tcPr>
            <w:tcW w:w="6799" w:type="dxa"/>
          </w:tcPr>
          <w:p w:rsidR="008B416C" w:rsidRPr="008B416C" w:rsidRDefault="008B416C" w:rsidP="008B416C">
            <w:pPr>
              <w:suppressAutoHyphens/>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sidRPr="008B416C">
              <w:rPr>
                <w:rFonts w:eastAsia="Times New Roman"/>
                <w:sz w:val="20"/>
                <w:szCs w:val="20"/>
              </w:rPr>
              <w:t>NFP314011L915</w:t>
            </w:r>
          </w:p>
        </w:tc>
      </w:tr>
      <w:tr w:rsidR="008B416C" w:rsidRPr="008B416C" w:rsidTr="00B109B4">
        <w:tc>
          <w:tcPr>
            <w:cnfStyle w:val="001000000000" w:firstRow="0" w:lastRow="0" w:firstColumn="1" w:lastColumn="0" w:oddVBand="0" w:evenVBand="0" w:oddHBand="0" w:evenHBand="0" w:firstRowFirstColumn="0" w:firstRowLastColumn="0" w:lastRowFirstColumn="0" w:lastRowLastColumn="0"/>
            <w:tcW w:w="2263" w:type="dxa"/>
          </w:tcPr>
          <w:p w:rsidR="008B416C" w:rsidRPr="008B416C" w:rsidRDefault="008B416C" w:rsidP="008B416C">
            <w:pPr>
              <w:suppressAutoHyphens/>
              <w:spacing w:after="200" w:line="276" w:lineRule="auto"/>
              <w:rPr>
                <w:rFonts w:eastAsia="Times New Roman"/>
                <w:sz w:val="20"/>
                <w:szCs w:val="20"/>
              </w:rPr>
            </w:pPr>
            <w:r w:rsidRPr="008B416C">
              <w:rPr>
                <w:rFonts w:eastAsia="Times New Roman"/>
                <w:sz w:val="20"/>
                <w:szCs w:val="20"/>
              </w:rPr>
              <w:t>Názov aktivity:</w:t>
            </w:r>
          </w:p>
        </w:tc>
        <w:tc>
          <w:tcPr>
            <w:tcW w:w="6799" w:type="dxa"/>
          </w:tcPr>
          <w:p w:rsidR="008B416C" w:rsidRPr="008B416C" w:rsidRDefault="008B416C" w:rsidP="008B416C">
            <w:pPr>
              <w:suppressAutoHyphens/>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B416C">
              <w:rPr>
                <w:rFonts w:eastAsia="Times New Roman"/>
                <w:sz w:val="20"/>
                <w:szCs w:val="20"/>
              </w:rPr>
              <w:t>Hlavná aktivita č. 2, Skvalitňovanie aktívnych politík trhu práce pre MRK</w:t>
            </w:r>
          </w:p>
        </w:tc>
      </w:tr>
      <w:tr w:rsidR="008B416C" w:rsidRPr="008B416C" w:rsidTr="00B10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8B416C" w:rsidRPr="008B416C" w:rsidRDefault="008B416C" w:rsidP="008B416C">
            <w:pPr>
              <w:suppressAutoHyphens/>
              <w:spacing w:after="200" w:line="276" w:lineRule="auto"/>
              <w:rPr>
                <w:rFonts w:eastAsia="Times New Roman"/>
                <w:sz w:val="20"/>
                <w:szCs w:val="20"/>
              </w:rPr>
            </w:pPr>
            <w:r w:rsidRPr="008B416C">
              <w:rPr>
                <w:rFonts w:eastAsia="Times New Roman"/>
                <w:sz w:val="20"/>
                <w:szCs w:val="20"/>
              </w:rPr>
              <w:t>Názov výstupu:</w:t>
            </w:r>
          </w:p>
        </w:tc>
        <w:tc>
          <w:tcPr>
            <w:tcW w:w="6799" w:type="dxa"/>
          </w:tcPr>
          <w:p w:rsidR="008B416C" w:rsidRPr="008B416C" w:rsidRDefault="008B416C" w:rsidP="008B416C">
            <w:pPr>
              <w:suppressAutoHyphens/>
              <w:spacing w:after="200"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Právna analýza</w:t>
            </w:r>
          </w:p>
        </w:tc>
      </w:tr>
      <w:tr w:rsidR="008B416C" w:rsidRPr="008B416C" w:rsidTr="00B109B4">
        <w:tc>
          <w:tcPr>
            <w:cnfStyle w:val="001000000000" w:firstRow="0" w:lastRow="0" w:firstColumn="1" w:lastColumn="0" w:oddVBand="0" w:evenVBand="0" w:oddHBand="0" w:evenHBand="0" w:firstRowFirstColumn="0" w:firstRowLastColumn="0" w:lastRowFirstColumn="0" w:lastRowLastColumn="0"/>
            <w:tcW w:w="2263" w:type="dxa"/>
          </w:tcPr>
          <w:p w:rsidR="008B416C" w:rsidRPr="008B416C" w:rsidRDefault="008B416C" w:rsidP="008B416C">
            <w:pPr>
              <w:suppressAutoHyphens/>
              <w:spacing w:after="200" w:line="276" w:lineRule="auto"/>
              <w:rPr>
                <w:rFonts w:eastAsia="Times New Roman"/>
                <w:sz w:val="20"/>
                <w:szCs w:val="20"/>
              </w:rPr>
            </w:pPr>
            <w:r w:rsidRPr="008B416C">
              <w:rPr>
                <w:rFonts w:eastAsia="Times New Roman"/>
                <w:sz w:val="20"/>
                <w:szCs w:val="20"/>
              </w:rPr>
              <w:t>Názov opatrenia:</w:t>
            </w:r>
          </w:p>
        </w:tc>
        <w:tc>
          <w:tcPr>
            <w:tcW w:w="6799" w:type="dxa"/>
          </w:tcPr>
          <w:p w:rsidR="008B416C" w:rsidRPr="008B416C" w:rsidRDefault="008B416C" w:rsidP="008B416C">
            <w:pPr>
              <w:suppressAutoHyphens/>
              <w:spacing w:after="200"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rPr>
            </w:pPr>
            <w:r w:rsidRPr="008B416C">
              <w:rPr>
                <w:rFonts w:eastAsia="Times New Roman"/>
                <w:sz w:val="20"/>
                <w:szCs w:val="20"/>
              </w:rPr>
              <w:t>Účinky vyhlásenia konkurzu na prebiehajúce exekučné konanie</w:t>
            </w:r>
          </w:p>
        </w:tc>
      </w:tr>
      <w:tr w:rsidR="008B416C" w:rsidRPr="008B416C" w:rsidTr="00B10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8B416C" w:rsidRPr="008B416C" w:rsidRDefault="008B416C" w:rsidP="008B416C">
            <w:pPr>
              <w:suppressAutoHyphens/>
              <w:spacing w:after="200" w:line="276" w:lineRule="auto"/>
              <w:rPr>
                <w:rFonts w:eastAsia="Times New Roman"/>
                <w:sz w:val="20"/>
                <w:szCs w:val="20"/>
              </w:rPr>
            </w:pPr>
            <w:r w:rsidRPr="008B416C">
              <w:rPr>
                <w:rFonts w:eastAsia="Times New Roman"/>
                <w:sz w:val="20"/>
                <w:szCs w:val="20"/>
              </w:rPr>
              <w:t>Subjekt, ktorému sa návrh opatrenia predkladá:</w:t>
            </w:r>
          </w:p>
        </w:tc>
        <w:tc>
          <w:tcPr>
            <w:tcW w:w="6799" w:type="dxa"/>
          </w:tcPr>
          <w:p w:rsidR="008B416C" w:rsidRPr="008B416C" w:rsidRDefault="008B416C" w:rsidP="008B416C">
            <w:pPr>
              <w:suppressAutoHyphens/>
              <w:spacing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rPr>
            </w:pPr>
            <w:r>
              <w:rPr>
                <w:rFonts w:eastAsia="Times New Roman"/>
                <w:sz w:val="20"/>
                <w:szCs w:val="20"/>
              </w:rPr>
              <w:t>Ministerstvo spravodlivosti SR</w:t>
            </w:r>
          </w:p>
        </w:tc>
      </w:tr>
    </w:tbl>
    <w:p w:rsidR="007445AD" w:rsidRDefault="007445AD">
      <w:pPr>
        <w:spacing w:line="344" w:lineRule="exact"/>
        <w:rPr>
          <w:sz w:val="24"/>
          <w:szCs w:val="24"/>
        </w:rPr>
      </w:pPr>
    </w:p>
    <w:p w:rsidR="007445AD" w:rsidRDefault="004E6F0B">
      <w:pPr>
        <w:ind w:right="-13"/>
        <w:jc w:val="center"/>
        <w:rPr>
          <w:sz w:val="20"/>
          <w:szCs w:val="20"/>
        </w:rPr>
      </w:pPr>
      <w:r>
        <w:rPr>
          <w:rFonts w:eastAsia="Times New Roman"/>
          <w:b/>
          <w:bCs/>
          <w:sz w:val="28"/>
          <w:szCs w:val="28"/>
        </w:rPr>
        <w:t>Právna analýza</w:t>
      </w:r>
    </w:p>
    <w:p w:rsidR="007445AD" w:rsidRDefault="007445AD">
      <w:pPr>
        <w:spacing w:line="187" w:lineRule="exact"/>
        <w:rPr>
          <w:sz w:val="24"/>
          <w:szCs w:val="24"/>
        </w:rPr>
      </w:pPr>
    </w:p>
    <w:p w:rsidR="007445AD" w:rsidRDefault="004E6F0B">
      <w:pPr>
        <w:ind w:right="-13"/>
        <w:jc w:val="center"/>
        <w:rPr>
          <w:sz w:val="20"/>
          <w:szCs w:val="20"/>
        </w:rPr>
      </w:pPr>
      <w:r>
        <w:rPr>
          <w:rFonts w:eastAsia="Times New Roman"/>
          <w:b/>
          <w:bCs/>
          <w:sz w:val="28"/>
          <w:szCs w:val="28"/>
        </w:rPr>
        <w:t>Účinky vyhlásenia konkurzu na prebiehajúce exekučné konanie</w:t>
      </w:r>
    </w:p>
    <w:p w:rsidR="007445AD" w:rsidRDefault="007445AD">
      <w:pPr>
        <w:spacing w:line="198" w:lineRule="exact"/>
        <w:rPr>
          <w:sz w:val="24"/>
          <w:szCs w:val="24"/>
        </w:rPr>
      </w:pPr>
    </w:p>
    <w:p w:rsidR="007445AD" w:rsidRDefault="004E6F0B">
      <w:pPr>
        <w:spacing w:line="254" w:lineRule="auto"/>
        <w:ind w:right="-13"/>
        <w:jc w:val="center"/>
        <w:rPr>
          <w:sz w:val="20"/>
          <w:szCs w:val="20"/>
        </w:rPr>
      </w:pPr>
      <w:r>
        <w:rPr>
          <w:rFonts w:eastAsia="Times New Roman"/>
          <w:i/>
          <w:iCs/>
          <w:sz w:val="28"/>
          <w:szCs w:val="28"/>
        </w:rPr>
        <w:t>Úvaha de lege ferenda k lehote na splnenie povinnosti súdneho exekútora vydať exekučný príkaz na odblokovanie majetku povinného po zastavení exekučného konania</w:t>
      </w:r>
    </w:p>
    <w:p w:rsidR="007445AD" w:rsidRDefault="007445AD">
      <w:pPr>
        <w:spacing w:line="200" w:lineRule="exact"/>
        <w:rPr>
          <w:sz w:val="24"/>
          <w:szCs w:val="24"/>
        </w:rPr>
      </w:pPr>
    </w:p>
    <w:p w:rsidR="007445AD" w:rsidRDefault="007445AD">
      <w:pPr>
        <w:spacing w:line="200" w:lineRule="exact"/>
        <w:rPr>
          <w:sz w:val="24"/>
          <w:szCs w:val="24"/>
        </w:rPr>
      </w:pPr>
    </w:p>
    <w:p w:rsidR="007445AD" w:rsidRDefault="007445AD">
      <w:pPr>
        <w:spacing w:line="200" w:lineRule="exact"/>
        <w:rPr>
          <w:sz w:val="24"/>
          <w:szCs w:val="24"/>
        </w:rPr>
      </w:pPr>
    </w:p>
    <w:p w:rsidR="007445AD" w:rsidRDefault="007445AD">
      <w:pPr>
        <w:spacing w:line="200" w:lineRule="exact"/>
        <w:rPr>
          <w:sz w:val="24"/>
          <w:szCs w:val="24"/>
        </w:rPr>
      </w:pPr>
    </w:p>
    <w:p w:rsidR="007445AD" w:rsidRDefault="007445AD">
      <w:pPr>
        <w:spacing w:line="200" w:lineRule="exact"/>
        <w:rPr>
          <w:sz w:val="24"/>
          <w:szCs w:val="24"/>
        </w:rPr>
      </w:pPr>
    </w:p>
    <w:p w:rsidR="007445AD" w:rsidRDefault="007445AD">
      <w:pPr>
        <w:spacing w:line="200" w:lineRule="exact"/>
        <w:rPr>
          <w:sz w:val="24"/>
          <w:szCs w:val="24"/>
        </w:rPr>
      </w:pPr>
    </w:p>
    <w:p w:rsidR="007445AD" w:rsidRDefault="007445AD">
      <w:pPr>
        <w:spacing w:line="200" w:lineRule="exact"/>
        <w:rPr>
          <w:sz w:val="24"/>
          <w:szCs w:val="24"/>
        </w:rPr>
      </w:pPr>
    </w:p>
    <w:p w:rsidR="007445AD" w:rsidRDefault="007445AD">
      <w:pPr>
        <w:spacing w:line="200" w:lineRule="exact"/>
        <w:rPr>
          <w:sz w:val="24"/>
          <w:szCs w:val="24"/>
        </w:rPr>
      </w:pPr>
    </w:p>
    <w:p w:rsidR="007445AD" w:rsidRDefault="007445AD">
      <w:pPr>
        <w:spacing w:line="200" w:lineRule="exact"/>
        <w:rPr>
          <w:sz w:val="24"/>
          <w:szCs w:val="24"/>
        </w:rPr>
      </w:pPr>
    </w:p>
    <w:p w:rsidR="007445AD" w:rsidRDefault="007445AD">
      <w:pPr>
        <w:spacing w:line="200" w:lineRule="exact"/>
        <w:rPr>
          <w:sz w:val="24"/>
          <w:szCs w:val="24"/>
        </w:rPr>
      </w:pPr>
    </w:p>
    <w:p w:rsidR="007445AD" w:rsidRDefault="007445AD">
      <w:pPr>
        <w:spacing w:line="200" w:lineRule="exact"/>
        <w:rPr>
          <w:sz w:val="24"/>
          <w:szCs w:val="24"/>
        </w:rPr>
      </w:pPr>
    </w:p>
    <w:p w:rsidR="007445AD" w:rsidRDefault="007445AD">
      <w:pPr>
        <w:spacing w:line="200" w:lineRule="exact"/>
        <w:rPr>
          <w:sz w:val="24"/>
          <w:szCs w:val="24"/>
        </w:rPr>
      </w:pPr>
    </w:p>
    <w:p w:rsidR="007445AD" w:rsidRDefault="007445AD">
      <w:pPr>
        <w:spacing w:line="200" w:lineRule="exact"/>
        <w:rPr>
          <w:sz w:val="24"/>
          <w:szCs w:val="24"/>
        </w:rPr>
      </w:pPr>
    </w:p>
    <w:p w:rsidR="007445AD" w:rsidRDefault="007445AD">
      <w:pPr>
        <w:spacing w:line="200" w:lineRule="exact"/>
        <w:rPr>
          <w:sz w:val="24"/>
          <w:szCs w:val="24"/>
        </w:rPr>
      </w:pPr>
    </w:p>
    <w:p w:rsidR="007445AD" w:rsidRDefault="007445AD">
      <w:pPr>
        <w:spacing w:line="200" w:lineRule="exact"/>
        <w:rPr>
          <w:sz w:val="24"/>
          <w:szCs w:val="24"/>
        </w:rPr>
      </w:pPr>
    </w:p>
    <w:p w:rsidR="007445AD" w:rsidRDefault="007445AD">
      <w:pPr>
        <w:spacing w:line="200" w:lineRule="exact"/>
        <w:rPr>
          <w:sz w:val="24"/>
          <w:szCs w:val="24"/>
        </w:rPr>
      </w:pPr>
    </w:p>
    <w:p w:rsidR="007445AD" w:rsidRDefault="007445AD">
      <w:pPr>
        <w:spacing w:line="200" w:lineRule="exact"/>
        <w:rPr>
          <w:sz w:val="24"/>
          <w:szCs w:val="24"/>
        </w:rPr>
      </w:pPr>
    </w:p>
    <w:p w:rsidR="007445AD" w:rsidRDefault="007445AD">
      <w:pPr>
        <w:spacing w:line="200" w:lineRule="exact"/>
        <w:rPr>
          <w:sz w:val="24"/>
          <w:szCs w:val="24"/>
        </w:rPr>
      </w:pPr>
    </w:p>
    <w:p w:rsidR="007445AD" w:rsidRDefault="007445AD">
      <w:pPr>
        <w:spacing w:line="200" w:lineRule="exact"/>
        <w:rPr>
          <w:sz w:val="24"/>
          <w:szCs w:val="24"/>
        </w:rPr>
      </w:pPr>
    </w:p>
    <w:p w:rsidR="007445AD" w:rsidRDefault="007445AD">
      <w:pPr>
        <w:spacing w:line="200" w:lineRule="exact"/>
        <w:rPr>
          <w:sz w:val="24"/>
          <w:szCs w:val="24"/>
        </w:rPr>
      </w:pPr>
    </w:p>
    <w:p w:rsidR="007445AD" w:rsidRDefault="007445AD">
      <w:pPr>
        <w:spacing w:line="200" w:lineRule="exact"/>
        <w:rPr>
          <w:sz w:val="24"/>
          <w:szCs w:val="24"/>
        </w:rPr>
      </w:pPr>
      <w:bookmarkStart w:id="1" w:name="_GoBack"/>
      <w:bookmarkEnd w:id="1"/>
    </w:p>
    <w:p w:rsidR="007445AD" w:rsidRDefault="007445AD">
      <w:pPr>
        <w:spacing w:line="200" w:lineRule="exact"/>
        <w:rPr>
          <w:sz w:val="24"/>
          <w:szCs w:val="24"/>
        </w:rPr>
      </w:pPr>
    </w:p>
    <w:p w:rsidR="007445AD" w:rsidRDefault="007445AD">
      <w:pPr>
        <w:spacing w:line="200" w:lineRule="exact"/>
        <w:rPr>
          <w:sz w:val="24"/>
          <w:szCs w:val="24"/>
        </w:rPr>
      </w:pPr>
    </w:p>
    <w:p w:rsidR="007445AD" w:rsidRDefault="007445AD">
      <w:pPr>
        <w:spacing w:line="200" w:lineRule="exact"/>
        <w:rPr>
          <w:sz w:val="24"/>
          <w:szCs w:val="24"/>
        </w:rPr>
      </w:pPr>
    </w:p>
    <w:p w:rsidR="007445AD" w:rsidRDefault="007445AD">
      <w:pPr>
        <w:spacing w:line="200" w:lineRule="exact"/>
        <w:rPr>
          <w:sz w:val="24"/>
          <w:szCs w:val="24"/>
        </w:rPr>
      </w:pPr>
    </w:p>
    <w:p w:rsidR="007445AD" w:rsidRDefault="007445AD">
      <w:pPr>
        <w:spacing w:line="200" w:lineRule="exact"/>
        <w:rPr>
          <w:sz w:val="24"/>
          <w:szCs w:val="24"/>
        </w:rPr>
      </w:pPr>
    </w:p>
    <w:p w:rsidR="007445AD" w:rsidRDefault="007445AD">
      <w:pPr>
        <w:spacing w:line="200" w:lineRule="exact"/>
        <w:rPr>
          <w:sz w:val="24"/>
          <w:szCs w:val="24"/>
        </w:rPr>
      </w:pPr>
    </w:p>
    <w:p w:rsidR="007445AD" w:rsidRDefault="007445AD">
      <w:pPr>
        <w:spacing w:line="200" w:lineRule="exact"/>
        <w:rPr>
          <w:sz w:val="24"/>
          <w:szCs w:val="24"/>
        </w:rPr>
      </w:pPr>
    </w:p>
    <w:p w:rsidR="007445AD" w:rsidRDefault="007445AD">
      <w:pPr>
        <w:spacing w:line="200" w:lineRule="exact"/>
        <w:rPr>
          <w:sz w:val="24"/>
          <w:szCs w:val="24"/>
        </w:rPr>
      </w:pPr>
    </w:p>
    <w:p w:rsidR="007445AD" w:rsidRDefault="007445AD">
      <w:pPr>
        <w:spacing w:line="200" w:lineRule="exact"/>
        <w:rPr>
          <w:sz w:val="24"/>
          <w:szCs w:val="24"/>
        </w:rPr>
      </w:pPr>
    </w:p>
    <w:p w:rsidR="007445AD" w:rsidRDefault="007445AD">
      <w:pPr>
        <w:spacing w:line="206" w:lineRule="exact"/>
        <w:rPr>
          <w:sz w:val="24"/>
          <w:szCs w:val="24"/>
        </w:rPr>
      </w:pPr>
    </w:p>
    <w:p w:rsidR="007445AD" w:rsidRDefault="004E6F0B" w:rsidP="00614C5D">
      <w:pPr>
        <w:jc w:val="center"/>
        <w:rPr>
          <w:sz w:val="20"/>
          <w:szCs w:val="20"/>
        </w:rPr>
      </w:pPr>
      <w:r>
        <w:rPr>
          <w:rFonts w:eastAsia="Times New Roman"/>
          <w:sz w:val="24"/>
          <w:szCs w:val="24"/>
        </w:rPr>
        <w:t>Vypracoval: Mgr. Milan Grieč</w:t>
      </w:r>
    </w:p>
    <w:p w:rsidR="007445AD" w:rsidRDefault="007445AD" w:rsidP="00614C5D">
      <w:pPr>
        <w:spacing w:line="183" w:lineRule="exact"/>
        <w:jc w:val="center"/>
        <w:rPr>
          <w:sz w:val="24"/>
          <w:szCs w:val="24"/>
        </w:rPr>
      </w:pPr>
    </w:p>
    <w:p w:rsidR="007445AD" w:rsidRDefault="004E6F0B" w:rsidP="00614C5D">
      <w:pPr>
        <w:jc w:val="center"/>
        <w:rPr>
          <w:sz w:val="20"/>
          <w:szCs w:val="20"/>
        </w:rPr>
      </w:pPr>
      <w:r>
        <w:rPr>
          <w:rFonts w:eastAsia="Times New Roman"/>
          <w:sz w:val="24"/>
          <w:szCs w:val="24"/>
        </w:rPr>
        <w:t>Prijímateľ právnej analýzy: Človek v ohrození, n.o.</w:t>
      </w:r>
    </w:p>
    <w:p w:rsidR="007445AD" w:rsidRDefault="007445AD">
      <w:pPr>
        <w:sectPr w:rsidR="007445AD">
          <w:pgSz w:w="11900" w:h="16838"/>
          <w:pgMar w:top="1440" w:right="1440" w:bottom="1440" w:left="1420" w:header="0" w:footer="0" w:gutter="0"/>
          <w:cols w:space="708" w:equalWidth="0">
            <w:col w:w="9046"/>
          </w:cols>
        </w:sectPr>
      </w:pPr>
    </w:p>
    <w:p w:rsidR="007445AD" w:rsidRDefault="004E6F0B">
      <w:pPr>
        <w:numPr>
          <w:ilvl w:val="0"/>
          <w:numId w:val="1"/>
        </w:numPr>
        <w:tabs>
          <w:tab w:val="left" w:pos="284"/>
        </w:tabs>
        <w:ind w:left="284" w:hanging="284"/>
        <w:rPr>
          <w:rFonts w:eastAsia="Times New Roman"/>
          <w:b/>
          <w:bCs/>
          <w:sz w:val="24"/>
          <w:szCs w:val="24"/>
        </w:rPr>
      </w:pPr>
      <w:bookmarkStart w:id="2" w:name="page2"/>
      <w:bookmarkEnd w:id="2"/>
      <w:r>
        <w:rPr>
          <w:rFonts w:eastAsia="Times New Roman"/>
          <w:b/>
          <w:bCs/>
          <w:sz w:val="24"/>
          <w:szCs w:val="24"/>
        </w:rPr>
        <w:lastRenderedPageBreak/>
        <w:t>Východiská analýzy</w:t>
      </w:r>
    </w:p>
    <w:p w:rsidR="007445AD" w:rsidRDefault="007445AD">
      <w:pPr>
        <w:spacing w:line="195" w:lineRule="exact"/>
        <w:rPr>
          <w:sz w:val="20"/>
          <w:szCs w:val="20"/>
        </w:rPr>
      </w:pPr>
    </w:p>
    <w:p w:rsidR="007445AD" w:rsidRDefault="004E6F0B">
      <w:pPr>
        <w:spacing w:line="270" w:lineRule="auto"/>
        <w:ind w:left="4"/>
        <w:jc w:val="both"/>
        <w:rPr>
          <w:sz w:val="20"/>
          <w:szCs w:val="20"/>
        </w:rPr>
      </w:pPr>
      <w:r>
        <w:rPr>
          <w:rFonts w:eastAsia="Times New Roman"/>
          <w:sz w:val="23"/>
          <w:szCs w:val="23"/>
        </w:rPr>
        <w:t>Z rozhodnutí všeobecných súdov Slovenskej republiky a zo stanoviska Slovenskej komory exekútorov k sťažnosti povinnej osoby k postupu súdneho exekútora v exekučnom konaní, ktoré má k dispozícii prijímateľ tejto právnej analýzy, vyplýva uplynutie rôzneho času odo dňa nasledujúceho po dni, v ktorom boli v Obchodnom vestníku zverejnené uznesenia o vyhlásení konkurzu po deň, v ktorom súdni exekútori vydali upovedomenia o zastavení exekúcií, dôsledkom čoho vydávanie upovedomení o zastavení exekúcií, rušenie úkonov súdnych</w:t>
      </w:r>
    </w:p>
    <w:p w:rsidR="007445AD" w:rsidRDefault="007445AD">
      <w:pPr>
        <w:spacing w:line="3" w:lineRule="exact"/>
        <w:rPr>
          <w:sz w:val="20"/>
          <w:szCs w:val="20"/>
        </w:rPr>
      </w:pPr>
    </w:p>
    <w:p w:rsidR="007445AD" w:rsidRDefault="004E6F0B">
      <w:pPr>
        <w:spacing w:line="257" w:lineRule="auto"/>
        <w:ind w:left="4"/>
        <w:jc w:val="both"/>
        <w:rPr>
          <w:sz w:val="20"/>
          <w:szCs w:val="20"/>
        </w:rPr>
      </w:pPr>
      <w:r>
        <w:rPr>
          <w:rFonts w:eastAsia="Times New Roman"/>
          <w:sz w:val="24"/>
          <w:szCs w:val="24"/>
        </w:rPr>
        <w:t xml:space="preserve">exekútorov smerujúcich k zabezpečeniu majetku podliehajúcemu exekúcii a upovedomovovanie dotknutých osôb a orgánov o týchto skutočnostiach zakladali neprimerane dlhý čas medzi jednotlivými procesnými úkonmi, ktoré spôsobovali nenaplnenie legitímnych očakávaní účastníkov konania. V spojení s uvedenými skutočnosťami je ďalším východiskom analýzy aj výstup z projektu prijímateľa tejto analýzy s názvom </w:t>
      </w:r>
      <w:r>
        <w:rPr>
          <w:rFonts w:eastAsia="Times New Roman"/>
          <w:i/>
          <w:iCs/>
          <w:sz w:val="24"/>
          <w:szCs w:val="24"/>
        </w:rPr>
        <w:t>Lepšie verejné</w:t>
      </w:r>
      <w:r>
        <w:rPr>
          <w:rFonts w:eastAsia="Times New Roman"/>
          <w:sz w:val="24"/>
          <w:szCs w:val="24"/>
        </w:rPr>
        <w:t xml:space="preserve"> </w:t>
      </w:r>
      <w:r>
        <w:rPr>
          <w:rFonts w:eastAsia="Times New Roman"/>
          <w:i/>
          <w:iCs/>
          <w:sz w:val="24"/>
          <w:szCs w:val="24"/>
        </w:rPr>
        <w:t>politiky pre marginalizované rómske komunity</w:t>
      </w:r>
      <w:r>
        <w:rPr>
          <w:rFonts w:eastAsia="Times New Roman"/>
          <w:sz w:val="24"/>
          <w:szCs w:val="24"/>
        </w:rPr>
        <w:t>, ktorým je potreba</w:t>
      </w:r>
      <w:r>
        <w:rPr>
          <w:rFonts w:eastAsia="Times New Roman"/>
          <w:i/>
          <w:iCs/>
          <w:sz w:val="24"/>
          <w:szCs w:val="24"/>
        </w:rPr>
        <w:t xml:space="preserve"> </w:t>
      </w:r>
      <w:r>
        <w:rPr>
          <w:rFonts w:eastAsia="Times New Roman"/>
          <w:sz w:val="23"/>
          <w:szCs w:val="23"/>
        </w:rPr>
        <w:t>lepšieho nastavenia</w:t>
      </w:r>
      <w:r>
        <w:rPr>
          <w:rFonts w:eastAsia="Times New Roman"/>
          <w:i/>
          <w:iCs/>
          <w:sz w:val="24"/>
          <w:szCs w:val="24"/>
        </w:rPr>
        <w:t xml:space="preserve"> </w:t>
      </w:r>
      <w:r>
        <w:rPr>
          <w:rFonts w:eastAsia="Times New Roman"/>
          <w:sz w:val="23"/>
          <w:szCs w:val="23"/>
        </w:rPr>
        <w:t>existujúcich nástrojov oddlženia a zvyšovania finančnej gramotnosti.</w:t>
      </w:r>
    </w:p>
    <w:p w:rsidR="007445AD" w:rsidRDefault="007445AD">
      <w:pPr>
        <w:spacing w:line="164" w:lineRule="exact"/>
        <w:rPr>
          <w:sz w:val="20"/>
          <w:szCs w:val="20"/>
        </w:rPr>
      </w:pPr>
    </w:p>
    <w:p w:rsidR="007445AD" w:rsidRDefault="004E6F0B">
      <w:pPr>
        <w:tabs>
          <w:tab w:val="left" w:pos="543"/>
        </w:tabs>
        <w:ind w:left="4"/>
        <w:rPr>
          <w:sz w:val="20"/>
          <w:szCs w:val="20"/>
        </w:rPr>
      </w:pPr>
      <w:r>
        <w:rPr>
          <w:rFonts w:eastAsia="Times New Roman"/>
          <w:b/>
          <w:bCs/>
          <w:sz w:val="24"/>
          <w:szCs w:val="24"/>
        </w:rPr>
        <w:t>1.1.</w:t>
      </w:r>
      <w:r>
        <w:rPr>
          <w:sz w:val="20"/>
          <w:szCs w:val="20"/>
        </w:rPr>
        <w:tab/>
      </w:r>
      <w:r>
        <w:rPr>
          <w:rFonts w:eastAsia="Times New Roman"/>
          <w:b/>
          <w:bCs/>
          <w:sz w:val="23"/>
          <w:szCs w:val="23"/>
        </w:rPr>
        <w:t>Právny stav</w:t>
      </w:r>
    </w:p>
    <w:p w:rsidR="007445AD" w:rsidRDefault="007445AD">
      <w:pPr>
        <w:spacing w:line="195" w:lineRule="exact"/>
        <w:rPr>
          <w:sz w:val="20"/>
          <w:szCs w:val="20"/>
        </w:rPr>
      </w:pPr>
    </w:p>
    <w:p w:rsidR="007445AD" w:rsidRDefault="004E6F0B">
      <w:pPr>
        <w:spacing w:line="269" w:lineRule="auto"/>
        <w:ind w:left="4" w:right="20"/>
        <w:jc w:val="both"/>
        <w:rPr>
          <w:sz w:val="20"/>
          <w:szCs w:val="20"/>
        </w:rPr>
      </w:pPr>
      <w:r>
        <w:rPr>
          <w:rFonts w:eastAsia="Times New Roman"/>
          <w:sz w:val="23"/>
          <w:szCs w:val="23"/>
        </w:rPr>
        <w:t xml:space="preserve">Podľa čl. 7 ods. 5 Zákona č. 460/1990 Zákona č. 460/1992 Zb. Ústava Slovenskej republiky (ďalej len </w:t>
      </w:r>
      <w:r>
        <w:rPr>
          <w:rFonts w:eastAsia="Times New Roman"/>
          <w:i/>
          <w:iCs/>
          <w:sz w:val="23"/>
          <w:szCs w:val="23"/>
        </w:rPr>
        <w:t>„</w:t>
      </w:r>
      <w:r>
        <w:rPr>
          <w:rFonts w:eastAsia="Times New Roman"/>
          <w:sz w:val="23"/>
          <w:szCs w:val="23"/>
        </w:rPr>
        <w:t>Ústava</w:t>
      </w:r>
      <w:r>
        <w:rPr>
          <w:rFonts w:eastAsia="Times New Roman"/>
          <w:i/>
          <w:iCs/>
          <w:sz w:val="23"/>
          <w:szCs w:val="23"/>
        </w:rPr>
        <w:t>“</w:t>
      </w:r>
      <w:r>
        <w:rPr>
          <w:rFonts w:eastAsia="Times New Roman"/>
          <w:sz w:val="23"/>
          <w:szCs w:val="23"/>
        </w:rPr>
        <w:t xml:space="preserve">) </w:t>
      </w:r>
      <w:r>
        <w:rPr>
          <w:rFonts w:eastAsia="Times New Roman"/>
          <w:i/>
          <w:iCs/>
          <w:sz w:val="23"/>
          <w:szCs w:val="23"/>
        </w:rPr>
        <w:t>„medzinárodné zmluvy o ľudských právach a základných slobodách,</w:t>
      </w:r>
      <w:r>
        <w:rPr>
          <w:rFonts w:eastAsia="Times New Roman"/>
          <w:sz w:val="23"/>
          <w:szCs w:val="23"/>
        </w:rPr>
        <w:t xml:space="preserve"> </w:t>
      </w:r>
      <w:r>
        <w:rPr>
          <w:rFonts w:eastAsia="Times New Roman"/>
          <w:i/>
          <w:iCs/>
          <w:sz w:val="23"/>
          <w:szCs w:val="23"/>
        </w:rPr>
        <w:t>medzinárodné zmluvy, na ktorých vykonanie nie je potrebný zákon, a medzinárodné zmluvy, ktoré priamo zakladajú práva alebo povinnosti fyzických osôb alebo právnických osôb a ktoré boli ratifikované a vyhlásené spôsobom ustanoveným zákonom, majú prednosť pred zákonmi.“</w:t>
      </w:r>
    </w:p>
    <w:p w:rsidR="007445AD" w:rsidRDefault="007445AD">
      <w:pPr>
        <w:spacing w:line="167" w:lineRule="exact"/>
        <w:rPr>
          <w:sz w:val="20"/>
          <w:szCs w:val="20"/>
        </w:rPr>
      </w:pPr>
    </w:p>
    <w:p w:rsidR="007445AD" w:rsidRDefault="004E6F0B">
      <w:pPr>
        <w:spacing w:line="255" w:lineRule="auto"/>
        <w:ind w:left="4"/>
        <w:jc w:val="both"/>
        <w:rPr>
          <w:sz w:val="20"/>
          <w:szCs w:val="20"/>
        </w:rPr>
      </w:pPr>
      <w:r>
        <w:rPr>
          <w:rFonts w:eastAsia="Times New Roman"/>
          <w:sz w:val="24"/>
          <w:szCs w:val="24"/>
        </w:rPr>
        <w:t xml:space="preserve">Čl. 6 bod 1. Európskeho dohovoru o ochrane ľudských práv a základných slobôd: </w:t>
      </w:r>
      <w:r>
        <w:rPr>
          <w:rFonts w:eastAsia="Times New Roman"/>
          <w:i/>
          <w:iCs/>
          <w:sz w:val="24"/>
          <w:szCs w:val="24"/>
        </w:rPr>
        <w:t>„Každý má</w:t>
      </w:r>
      <w:r>
        <w:rPr>
          <w:rFonts w:eastAsia="Times New Roman"/>
          <w:sz w:val="24"/>
          <w:szCs w:val="24"/>
        </w:rPr>
        <w:t xml:space="preserve"> </w:t>
      </w:r>
      <w:r>
        <w:rPr>
          <w:rFonts w:eastAsia="Times New Roman"/>
          <w:i/>
          <w:iCs/>
          <w:sz w:val="24"/>
          <w:szCs w:val="24"/>
        </w:rPr>
        <w:t>právo na to, aby jeho vec bola spravodlivo, verejne a v primeranej lehote prejednaná nezávislým a nestranným súdom zriadeným zákonom, ktorý rozhodne o jeho občianskych právach alebo záväzkoch ...“</w:t>
      </w:r>
    </w:p>
    <w:p w:rsidR="007445AD" w:rsidRDefault="007445AD">
      <w:pPr>
        <w:spacing w:line="178" w:lineRule="exact"/>
        <w:rPr>
          <w:sz w:val="20"/>
          <w:szCs w:val="20"/>
        </w:rPr>
      </w:pPr>
    </w:p>
    <w:p w:rsidR="007445AD" w:rsidRDefault="004E6F0B">
      <w:pPr>
        <w:spacing w:line="253" w:lineRule="auto"/>
        <w:ind w:left="4" w:right="20"/>
        <w:jc w:val="both"/>
        <w:rPr>
          <w:sz w:val="20"/>
          <w:szCs w:val="20"/>
        </w:rPr>
      </w:pPr>
      <w:r>
        <w:rPr>
          <w:rFonts w:eastAsia="Times New Roman"/>
          <w:sz w:val="24"/>
          <w:szCs w:val="24"/>
        </w:rPr>
        <w:t xml:space="preserve">Čl. 48 ods. 2 Ústavy: </w:t>
      </w:r>
      <w:r>
        <w:rPr>
          <w:rFonts w:eastAsia="Times New Roman"/>
          <w:i/>
          <w:iCs/>
          <w:sz w:val="24"/>
          <w:szCs w:val="24"/>
        </w:rPr>
        <w:t>„Každý má právo, aby sa jeho vec verejne prerokovala bez zbytočných</w:t>
      </w:r>
      <w:r>
        <w:rPr>
          <w:rFonts w:eastAsia="Times New Roman"/>
          <w:sz w:val="24"/>
          <w:szCs w:val="24"/>
        </w:rPr>
        <w:t xml:space="preserve"> </w:t>
      </w:r>
      <w:r>
        <w:rPr>
          <w:rFonts w:eastAsia="Times New Roman"/>
          <w:i/>
          <w:iCs/>
          <w:sz w:val="24"/>
          <w:szCs w:val="24"/>
        </w:rPr>
        <w:t>prieťahov a v jeho prítomnosti a aby sa mohol vyjadriť ku všetkým vykonávaným dôkazom. Verejnosť možno vylúčiť len v prípadoch ustanovených zákonom.“</w:t>
      </w:r>
    </w:p>
    <w:p w:rsidR="007445AD" w:rsidRDefault="007445AD">
      <w:pPr>
        <w:spacing w:line="181" w:lineRule="exact"/>
        <w:rPr>
          <w:sz w:val="20"/>
          <w:szCs w:val="20"/>
        </w:rPr>
      </w:pPr>
    </w:p>
    <w:p w:rsidR="007445AD" w:rsidRDefault="004E6F0B">
      <w:pPr>
        <w:spacing w:line="257" w:lineRule="auto"/>
        <w:ind w:left="4" w:right="20"/>
        <w:jc w:val="both"/>
        <w:rPr>
          <w:sz w:val="20"/>
          <w:szCs w:val="20"/>
        </w:rPr>
      </w:pPr>
      <w:r>
        <w:rPr>
          <w:rFonts w:eastAsia="Times New Roman"/>
          <w:sz w:val="24"/>
          <w:szCs w:val="24"/>
        </w:rPr>
        <w:t xml:space="preserve">Podľa článku 7 ods. 2 Zákon č. 460/1992 Zb. Ústava Slovenskej republiky (ďalej len „Ústava“) </w:t>
      </w:r>
      <w:r>
        <w:rPr>
          <w:rFonts w:eastAsia="Times New Roman"/>
          <w:i/>
          <w:iCs/>
          <w:sz w:val="24"/>
          <w:szCs w:val="24"/>
        </w:rPr>
        <w:t>„môže Slovenská republika medzinárodnou zmluvou, ktorá bola ratifikovaná a vyhlásená spôsobom ustanoveným zákonom, alebo na základe takej zmluvy preniesť výkon časti svojich práv na Európske spoločenstvá a Európsku úniu. Právne záväzné akty Európskych spoločenstiev a Európskej únie majú prednosť pred zákonmi Slovenskej republiky. Prevzatie právne záväzných aktov, ktoré vyžadujú implementáciu, sa vykoná zákonom alebo nariadením vlády podľa čl. 120 ods. 2. “</w:t>
      </w:r>
    </w:p>
    <w:p w:rsidR="007445AD" w:rsidRDefault="007445AD">
      <w:pPr>
        <w:spacing w:line="176" w:lineRule="exact"/>
        <w:rPr>
          <w:sz w:val="20"/>
          <w:szCs w:val="20"/>
        </w:rPr>
      </w:pPr>
    </w:p>
    <w:p w:rsidR="007445AD" w:rsidRDefault="004E6F0B">
      <w:pPr>
        <w:spacing w:line="257" w:lineRule="auto"/>
        <w:ind w:left="4"/>
        <w:jc w:val="both"/>
        <w:rPr>
          <w:sz w:val="20"/>
          <w:szCs w:val="20"/>
        </w:rPr>
      </w:pPr>
      <w:r>
        <w:rPr>
          <w:rFonts w:eastAsia="Times New Roman"/>
          <w:sz w:val="24"/>
          <w:szCs w:val="24"/>
        </w:rPr>
        <w:t xml:space="preserve">Článok 2 body 2 a 3 Zmluvy o fungovaní Európskej únie (ďalej len „Zmluvy“): </w:t>
      </w:r>
      <w:r>
        <w:rPr>
          <w:rFonts w:eastAsia="Times New Roman"/>
          <w:i/>
          <w:iCs/>
          <w:sz w:val="24"/>
          <w:szCs w:val="24"/>
        </w:rPr>
        <w:t>„Ak zmluvy</w:t>
      </w:r>
      <w:r>
        <w:rPr>
          <w:rFonts w:eastAsia="Times New Roman"/>
          <w:sz w:val="24"/>
          <w:szCs w:val="24"/>
        </w:rPr>
        <w:t xml:space="preserve"> </w:t>
      </w:r>
      <w:r>
        <w:rPr>
          <w:rFonts w:eastAsia="Times New Roman"/>
          <w:i/>
          <w:iCs/>
          <w:sz w:val="24"/>
          <w:szCs w:val="24"/>
        </w:rPr>
        <w:t>prenesú na Úniu v určitej oblasti právomoc, ktorú vykonáva spoločne s členskými štátmi, Únia a členské štáty môžu v tejto oblasti vykonávať legislatívnu činnosť a prijímať právne záväzné akty. Členské štáty vykonávajú svoju právomoc v rozsahu, v akom Únia svoju právomoc nevykonala. Členské štáty opäť vykonávajú svoju právomoc v rozsahu, v akom sa Únia rozhodla prestať vykonávať svoju právomoc.“</w:t>
      </w:r>
    </w:p>
    <w:p w:rsidR="007445AD" w:rsidRDefault="007445AD">
      <w:pPr>
        <w:spacing w:line="174" w:lineRule="exact"/>
        <w:rPr>
          <w:sz w:val="20"/>
          <w:szCs w:val="20"/>
        </w:rPr>
      </w:pPr>
    </w:p>
    <w:p w:rsidR="007445AD" w:rsidRDefault="004E6F0B">
      <w:pPr>
        <w:spacing w:line="248" w:lineRule="auto"/>
        <w:ind w:left="4" w:right="20"/>
        <w:jc w:val="both"/>
        <w:rPr>
          <w:sz w:val="20"/>
          <w:szCs w:val="20"/>
        </w:rPr>
      </w:pPr>
      <w:r>
        <w:rPr>
          <w:rFonts w:eastAsia="Times New Roman"/>
          <w:sz w:val="24"/>
          <w:szCs w:val="24"/>
        </w:rPr>
        <w:t>V súlade s článkom 4 bod 2 písm. j) Zmluvy sa spoločné právomoci Únie a členských štátov uskutočňujú aj v oblasti priestoru spravodlivosti. Tá je vymedzená v článkom 65 až 89, podľa</w:t>
      </w:r>
    </w:p>
    <w:p w:rsidR="007445AD" w:rsidRDefault="007445AD">
      <w:pPr>
        <w:sectPr w:rsidR="007445AD">
          <w:pgSz w:w="11900" w:h="16838"/>
          <w:pgMar w:top="1413" w:right="1406" w:bottom="1095" w:left="1416" w:header="0" w:footer="0" w:gutter="0"/>
          <w:cols w:space="708" w:equalWidth="0">
            <w:col w:w="9084"/>
          </w:cols>
        </w:sectPr>
      </w:pPr>
    </w:p>
    <w:p w:rsidR="007445AD" w:rsidRDefault="004E6F0B">
      <w:pPr>
        <w:spacing w:line="294" w:lineRule="auto"/>
        <w:ind w:left="4" w:right="20"/>
        <w:jc w:val="both"/>
        <w:rPr>
          <w:sz w:val="20"/>
          <w:szCs w:val="20"/>
        </w:rPr>
      </w:pPr>
      <w:bookmarkStart w:id="3" w:name="page3"/>
      <w:bookmarkEnd w:id="3"/>
      <w:r>
        <w:rPr>
          <w:rFonts w:eastAsia="Times New Roman"/>
        </w:rPr>
        <w:lastRenderedPageBreak/>
        <w:t>ktoré sa zameriavajú na politiky vzťahujúce sa na hraničné kontroly, azyl a prisťahovalectvo, ,justičnú spoluprácu v občianskych veciach a justičnú spoluprácu v trestných veciach.</w:t>
      </w:r>
    </w:p>
    <w:p w:rsidR="007445AD" w:rsidRDefault="007445AD">
      <w:pPr>
        <w:spacing w:line="136" w:lineRule="exact"/>
        <w:rPr>
          <w:sz w:val="20"/>
          <w:szCs w:val="20"/>
        </w:rPr>
      </w:pPr>
    </w:p>
    <w:p w:rsidR="007445AD" w:rsidRDefault="004E6F0B">
      <w:pPr>
        <w:spacing w:line="253" w:lineRule="auto"/>
        <w:ind w:left="4" w:right="20"/>
        <w:jc w:val="both"/>
        <w:rPr>
          <w:sz w:val="20"/>
          <w:szCs w:val="20"/>
        </w:rPr>
      </w:pPr>
      <w:r>
        <w:rPr>
          <w:rFonts w:eastAsia="Times New Roman"/>
          <w:sz w:val="24"/>
          <w:szCs w:val="24"/>
        </w:rPr>
        <w:t>Oddlženie upravuje v § 166 až 166k Zákon č. 7/2005 Z. z. o konkurze a reštrukturalizácii a o zmene a doplnení niektorých zákonov (ďalej len „Zákon o konkurze a reštrukturalizácii</w:t>
      </w:r>
      <w:r>
        <w:rPr>
          <w:rFonts w:eastAsia="Times New Roman"/>
          <w:i/>
          <w:iCs/>
          <w:sz w:val="24"/>
          <w:szCs w:val="24"/>
        </w:rPr>
        <w:t>“</w:t>
      </w:r>
      <w:r>
        <w:rPr>
          <w:rFonts w:eastAsia="Times New Roman"/>
          <w:sz w:val="24"/>
          <w:szCs w:val="24"/>
        </w:rPr>
        <w:t>) v spojení s ďalšími ustanoveniami.</w:t>
      </w:r>
    </w:p>
    <w:p w:rsidR="007445AD" w:rsidRDefault="007445AD">
      <w:pPr>
        <w:spacing w:line="181" w:lineRule="exact"/>
        <w:rPr>
          <w:sz w:val="20"/>
          <w:szCs w:val="20"/>
        </w:rPr>
      </w:pPr>
    </w:p>
    <w:p w:rsidR="007445AD" w:rsidRDefault="004E6F0B">
      <w:pPr>
        <w:spacing w:line="257" w:lineRule="auto"/>
        <w:ind w:left="4"/>
        <w:jc w:val="both"/>
        <w:rPr>
          <w:sz w:val="20"/>
          <w:szCs w:val="20"/>
        </w:rPr>
      </w:pPr>
      <w:r>
        <w:rPr>
          <w:rFonts w:eastAsia="Times New Roman"/>
          <w:sz w:val="24"/>
          <w:szCs w:val="24"/>
        </w:rPr>
        <w:t xml:space="preserve">Na účely tejto analýzy podľa § 166 ods. 1 a 3 Zákona o konkurze a reštrukturalizácii : </w:t>
      </w:r>
      <w:r>
        <w:rPr>
          <w:rFonts w:eastAsia="Times New Roman"/>
          <w:i/>
          <w:iCs/>
          <w:sz w:val="24"/>
          <w:szCs w:val="24"/>
        </w:rPr>
        <w:t>„Každý</w:t>
      </w:r>
      <w:r>
        <w:rPr>
          <w:rFonts w:eastAsia="Times New Roman"/>
          <w:sz w:val="24"/>
          <w:szCs w:val="24"/>
        </w:rPr>
        <w:t xml:space="preserve"> </w:t>
      </w:r>
      <w:r>
        <w:rPr>
          <w:rFonts w:eastAsia="Times New Roman"/>
          <w:i/>
          <w:iCs/>
          <w:sz w:val="24"/>
          <w:szCs w:val="24"/>
        </w:rPr>
        <w:t>platobne neschopný dlžník, ktorý je fyzickou osobou, je oprávnený domáhať sa oddlženia konkurzom alebo splátkovým kalendárom podľa tejto časti zákona a to bez ohľadu na to, či má záväzky z podnikateľskej činnosti (ods. 1). Dlžník je oprávnený podať návrh na vyhlásenie konkurzu alebo návrh na určenie splátkového kalendára iba vtedy, ak sa voči nemu vedie exekučné konanie alebo obdobné vykonávacie konanie; ak ide o návrh na vyhlásenie konkurzu, musí od vydania poverenia na vykonanie exekúcie alebo od začatia obdobného vykonávacieho konania uplynúť aspoň jeden rok.(ods. 3).“</w:t>
      </w:r>
    </w:p>
    <w:p w:rsidR="007445AD" w:rsidRDefault="007445AD">
      <w:pPr>
        <w:spacing w:line="180" w:lineRule="exact"/>
        <w:rPr>
          <w:sz w:val="20"/>
          <w:szCs w:val="20"/>
        </w:rPr>
      </w:pPr>
    </w:p>
    <w:p w:rsidR="007445AD" w:rsidRDefault="004E6F0B">
      <w:pPr>
        <w:numPr>
          <w:ilvl w:val="0"/>
          <w:numId w:val="2"/>
        </w:numPr>
        <w:tabs>
          <w:tab w:val="left" w:pos="172"/>
        </w:tabs>
        <w:spacing w:line="250" w:lineRule="auto"/>
        <w:ind w:left="4" w:hanging="4"/>
        <w:jc w:val="both"/>
        <w:rPr>
          <w:rFonts w:eastAsia="Times New Roman"/>
          <w:sz w:val="23"/>
          <w:szCs w:val="23"/>
        </w:rPr>
      </w:pPr>
      <w:r>
        <w:rPr>
          <w:rFonts w:eastAsia="Times New Roman"/>
          <w:sz w:val="23"/>
          <w:szCs w:val="23"/>
        </w:rPr>
        <w:t xml:space="preserve">167f ods. 1, 2 a 4 Zákona o konkurze a reštrukturalizácii: </w:t>
      </w:r>
      <w:r>
        <w:rPr>
          <w:rFonts w:eastAsia="Times New Roman"/>
          <w:i/>
          <w:iCs/>
          <w:sz w:val="23"/>
          <w:szCs w:val="23"/>
        </w:rPr>
        <w:t>„Na majetok podliehajúci konkurzu</w:t>
      </w:r>
      <w:r>
        <w:rPr>
          <w:rFonts w:eastAsia="Times New Roman"/>
          <w:sz w:val="23"/>
          <w:szCs w:val="23"/>
        </w:rPr>
        <w:t xml:space="preserve"> </w:t>
      </w:r>
      <w:r>
        <w:rPr>
          <w:rFonts w:eastAsia="Times New Roman"/>
          <w:i/>
          <w:iCs/>
          <w:sz w:val="23"/>
          <w:szCs w:val="23"/>
        </w:rPr>
        <w:t xml:space="preserve">nemožno počas konkurzu začať ani viesť exekučné konanie alebo obdobné vykonávacie konanie. </w:t>
      </w:r>
      <w:r>
        <w:rPr>
          <w:rFonts w:eastAsia="Times New Roman"/>
          <w:sz w:val="23"/>
          <w:szCs w:val="23"/>
        </w:rPr>
        <w:t>(ods. 1</w:t>
      </w:r>
      <w:r>
        <w:rPr>
          <w:rFonts w:eastAsia="Times New Roman"/>
          <w:i/>
          <w:iCs/>
          <w:sz w:val="23"/>
          <w:szCs w:val="23"/>
        </w:rPr>
        <w:t xml:space="preserve">) Ak bol vyhlásený konkurz, ide o dôvod, aby sa bez zbytočného odkladu rozhodlo o zastavení konania, v ktorom sa vymáha pohľadávka, ktorá môže byť uspokojená iba v konkurze alebo sa považuje za nevymáhateľnú. Výťažok exekúcie, ktorý ešte nebol vydaný oprávnenému, exekútor po odpočítaní odmeny a svojich trov, vydá oprávnenému. </w:t>
      </w:r>
      <w:r>
        <w:rPr>
          <w:rFonts w:eastAsia="Times New Roman"/>
          <w:sz w:val="23"/>
          <w:szCs w:val="23"/>
        </w:rPr>
        <w:t>(ods. 2)</w:t>
      </w:r>
      <w:r>
        <w:rPr>
          <w:rFonts w:eastAsia="Times New Roman"/>
          <w:i/>
          <w:iCs/>
          <w:sz w:val="23"/>
          <w:szCs w:val="23"/>
        </w:rPr>
        <w:t xml:space="preserve"> Exekučné záložné právo k dlžníkovmu majetku vyhlásením konkurzu zaniká. </w:t>
      </w:r>
      <w:r>
        <w:rPr>
          <w:rFonts w:eastAsia="Times New Roman"/>
          <w:sz w:val="23"/>
          <w:szCs w:val="23"/>
        </w:rPr>
        <w:t>(ods. 4)</w:t>
      </w:r>
      <w:r>
        <w:rPr>
          <w:rFonts w:eastAsia="Times New Roman"/>
          <w:i/>
          <w:iCs/>
          <w:sz w:val="23"/>
          <w:szCs w:val="23"/>
        </w:rPr>
        <w:t>.“</w:t>
      </w:r>
    </w:p>
    <w:p w:rsidR="007445AD" w:rsidRDefault="007445AD">
      <w:pPr>
        <w:spacing w:line="279" w:lineRule="exact"/>
        <w:rPr>
          <w:rFonts w:eastAsia="Times New Roman"/>
          <w:sz w:val="23"/>
          <w:szCs w:val="23"/>
        </w:rPr>
      </w:pPr>
    </w:p>
    <w:p w:rsidR="007445AD" w:rsidRDefault="004E6F0B">
      <w:pPr>
        <w:numPr>
          <w:ilvl w:val="0"/>
          <w:numId w:val="2"/>
        </w:numPr>
        <w:tabs>
          <w:tab w:val="left" w:pos="224"/>
        </w:tabs>
        <w:spacing w:line="253" w:lineRule="auto"/>
        <w:ind w:left="4" w:right="20" w:hanging="4"/>
        <w:jc w:val="both"/>
        <w:rPr>
          <w:rFonts w:eastAsia="Times New Roman"/>
          <w:sz w:val="24"/>
          <w:szCs w:val="24"/>
        </w:rPr>
      </w:pPr>
      <w:r>
        <w:rPr>
          <w:rFonts w:eastAsia="Times New Roman"/>
          <w:sz w:val="24"/>
          <w:szCs w:val="24"/>
        </w:rPr>
        <w:t xml:space="preserve">167e ods. 1 Zákona o konkurze a reštrukturalizácii: </w:t>
      </w:r>
      <w:r>
        <w:rPr>
          <w:rFonts w:eastAsia="Times New Roman"/>
          <w:i/>
          <w:iCs/>
          <w:sz w:val="24"/>
          <w:szCs w:val="24"/>
        </w:rPr>
        <w:t>„Ak bol vyhlásený konkurz, súd bez</w:t>
      </w:r>
      <w:r>
        <w:rPr>
          <w:rFonts w:eastAsia="Times New Roman"/>
          <w:sz w:val="24"/>
          <w:szCs w:val="24"/>
        </w:rPr>
        <w:t xml:space="preserve"> </w:t>
      </w:r>
      <w:r>
        <w:rPr>
          <w:rFonts w:eastAsia="Times New Roman"/>
          <w:i/>
          <w:iCs/>
          <w:sz w:val="24"/>
          <w:szCs w:val="24"/>
        </w:rPr>
        <w:t>zbytočného odkladu zastaví konanie, v ktorom sa uplatňuje pohľadávka, ktorá môže byť uspokojená iba v konkurze (§ 166a) alebo sa považuje za nevymáhateľnú (§ 166b).“</w:t>
      </w:r>
    </w:p>
    <w:p w:rsidR="007445AD" w:rsidRDefault="007445AD">
      <w:pPr>
        <w:spacing w:line="180" w:lineRule="exact"/>
        <w:rPr>
          <w:rFonts w:eastAsia="Times New Roman"/>
          <w:sz w:val="24"/>
          <w:szCs w:val="24"/>
        </w:rPr>
      </w:pPr>
    </w:p>
    <w:p w:rsidR="007445AD" w:rsidRDefault="004E6F0B">
      <w:pPr>
        <w:numPr>
          <w:ilvl w:val="0"/>
          <w:numId w:val="2"/>
        </w:numPr>
        <w:tabs>
          <w:tab w:val="left" w:pos="174"/>
        </w:tabs>
        <w:spacing w:line="269" w:lineRule="auto"/>
        <w:ind w:left="4" w:right="20" w:hanging="4"/>
        <w:rPr>
          <w:rFonts w:eastAsia="Times New Roman"/>
          <w:sz w:val="23"/>
          <w:szCs w:val="23"/>
        </w:rPr>
      </w:pPr>
      <w:r>
        <w:rPr>
          <w:rFonts w:eastAsia="Times New Roman"/>
          <w:sz w:val="23"/>
          <w:szCs w:val="23"/>
        </w:rPr>
        <w:t xml:space="preserve">29 ods. 2 Exekučného poriadku: </w:t>
      </w:r>
      <w:r>
        <w:rPr>
          <w:rFonts w:eastAsia="Times New Roman"/>
          <w:i/>
          <w:iCs/>
          <w:sz w:val="23"/>
          <w:szCs w:val="23"/>
        </w:rPr>
        <w:t>„Exekútor je povinný vykonávať činnosť podľa tohto zákona</w:t>
      </w:r>
      <w:r>
        <w:rPr>
          <w:rFonts w:eastAsia="Times New Roman"/>
          <w:sz w:val="23"/>
          <w:szCs w:val="23"/>
        </w:rPr>
        <w:t xml:space="preserve"> </w:t>
      </w:r>
      <w:r>
        <w:rPr>
          <w:rFonts w:eastAsia="Times New Roman"/>
          <w:i/>
          <w:iCs/>
          <w:sz w:val="23"/>
          <w:szCs w:val="23"/>
        </w:rPr>
        <w:t>s odbornou starostlivosťou, s využitím všetkých svojich skúseností a odborných vedomostí.“</w:t>
      </w:r>
    </w:p>
    <w:p w:rsidR="007445AD" w:rsidRDefault="007445AD">
      <w:pPr>
        <w:spacing w:line="160" w:lineRule="exact"/>
        <w:rPr>
          <w:rFonts w:eastAsia="Times New Roman"/>
          <w:sz w:val="23"/>
          <w:szCs w:val="23"/>
        </w:rPr>
      </w:pPr>
    </w:p>
    <w:p w:rsidR="007445AD" w:rsidRDefault="004E6F0B">
      <w:pPr>
        <w:numPr>
          <w:ilvl w:val="0"/>
          <w:numId w:val="2"/>
        </w:numPr>
        <w:tabs>
          <w:tab w:val="left" w:pos="179"/>
        </w:tabs>
        <w:spacing w:line="255" w:lineRule="auto"/>
        <w:ind w:left="4" w:right="20" w:hanging="4"/>
        <w:jc w:val="both"/>
        <w:rPr>
          <w:rFonts w:eastAsia="Times New Roman"/>
          <w:sz w:val="24"/>
          <w:szCs w:val="24"/>
        </w:rPr>
      </w:pPr>
      <w:r>
        <w:rPr>
          <w:rFonts w:eastAsia="Times New Roman"/>
          <w:sz w:val="24"/>
          <w:szCs w:val="24"/>
        </w:rPr>
        <w:t xml:space="preserve">29 ods. 3 Exekučného poriadku: </w:t>
      </w:r>
      <w:r>
        <w:rPr>
          <w:rFonts w:eastAsia="Times New Roman"/>
          <w:i/>
          <w:iCs/>
          <w:sz w:val="24"/>
          <w:szCs w:val="24"/>
        </w:rPr>
        <w:t>„Exekútor je povinný vykonávať činnosť podľa tohto zákona</w:t>
      </w:r>
      <w:r>
        <w:rPr>
          <w:rFonts w:eastAsia="Times New Roman"/>
          <w:sz w:val="24"/>
          <w:szCs w:val="24"/>
        </w:rPr>
        <w:t xml:space="preserve"> </w:t>
      </w:r>
      <w:r>
        <w:rPr>
          <w:rFonts w:eastAsia="Times New Roman"/>
          <w:i/>
          <w:iCs/>
          <w:sz w:val="24"/>
          <w:szCs w:val="24"/>
        </w:rPr>
        <w:t>bez zbytočných prieťahov; za tým účelom je povinný zamestnávať dostatočný počet zamestnancov a spĺňať materiálne a technické podmienky umožňujúce riadny výkon exekučnej činnosti.“</w:t>
      </w:r>
    </w:p>
    <w:p w:rsidR="007445AD" w:rsidRDefault="007445AD">
      <w:pPr>
        <w:spacing w:line="178" w:lineRule="exact"/>
        <w:rPr>
          <w:rFonts w:eastAsia="Times New Roman"/>
          <w:sz w:val="24"/>
          <w:szCs w:val="24"/>
        </w:rPr>
      </w:pPr>
    </w:p>
    <w:p w:rsidR="007445AD" w:rsidRDefault="004E6F0B">
      <w:pPr>
        <w:numPr>
          <w:ilvl w:val="0"/>
          <w:numId w:val="2"/>
        </w:numPr>
        <w:tabs>
          <w:tab w:val="left" w:pos="210"/>
        </w:tabs>
        <w:spacing w:line="256" w:lineRule="auto"/>
        <w:ind w:left="4" w:right="20" w:hanging="4"/>
        <w:jc w:val="both"/>
        <w:rPr>
          <w:rFonts w:eastAsia="Times New Roman"/>
          <w:sz w:val="24"/>
          <w:szCs w:val="24"/>
        </w:rPr>
      </w:pPr>
      <w:r>
        <w:rPr>
          <w:rFonts w:eastAsia="Times New Roman"/>
          <w:sz w:val="24"/>
          <w:szCs w:val="24"/>
        </w:rPr>
        <w:t xml:space="preserve">31 ods. 1 prvá veta a ods. 3 Exekučného poriadku: </w:t>
      </w:r>
      <w:r>
        <w:rPr>
          <w:rFonts w:eastAsia="Times New Roman"/>
          <w:i/>
          <w:iCs/>
          <w:sz w:val="24"/>
          <w:szCs w:val="24"/>
        </w:rPr>
        <w:t>„Exekútor zodpovedá za škodu, ktorú</w:t>
      </w:r>
      <w:r>
        <w:rPr>
          <w:rFonts w:eastAsia="Times New Roman"/>
          <w:sz w:val="24"/>
          <w:szCs w:val="24"/>
        </w:rPr>
        <w:t xml:space="preserve"> </w:t>
      </w:r>
      <w:r>
        <w:rPr>
          <w:rFonts w:eastAsia="Times New Roman"/>
          <w:i/>
          <w:iCs/>
          <w:sz w:val="24"/>
          <w:szCs w:val="24"/>
        </w:rPr>
        <w:t>spôsobí v súvislosti s výkonom činnosti podľa tohto zákona. Na zodpovednosť exekútora sa vzťahujú ustanovenia Občianskeho zákonníka. Exekútor sa zbaví zodpovednosti, ak preukáže, že postupoval s odbornou starostlivosťou.“</w:t>
      </w:r>
    </w:p>
    <w:p w:rsidR="007445AD" w:rsidRDefault="007445AD">
      <w:pPr>
        <w:spacing w:line="174" w:lineRule="exact"/>
        <w:rPr>
          <w:rFonts w:eastAsia="Times New Roman"/>
          <w:sz w:val="24"/>
          <w:szCs w:val="24"/>
        </w:rPr>
      </w:pPr>
    </w:p>
    <w:p w:rsidR="007445AD" w:rsidRDefault="004E6F0B">
      <w:pPr>
        <w:numPr>
          <w:ilvl w:val="0"/>
          <w:numId w:val="2"/>
        </w:numPr>
        <w:tabs>
          <w:tab w:val="left" w:pos="227"/>
        </w:tabs>
        <w:spacing w:line="257" w:lineRule="auto"/>
        <w:ind w:left="4" w:right="20" w:hanging="4"/>
        <w:jc w:val="both"/>
        <w:rPr>
          <w:rFonts w:eastAsia="Times New Roman"/>
          <w:sz w:val="24"/>
          <w:szCs w:val="24"/>
        </w:rPr>
      </w:pPr>
      <w:r>
        <w:rPr>
          <w:rFonts w:eastAsia="Times New Roman"/>
          <w:sz w:val="24"/>
          <w:szCs w:val="24"/>
        </w:rPr>
        <w:t xml:space="preserve">32 Exekučného poriadku: </w:t>
      </w:r>
      <w:r>
        <w:rPr>
          <w:rFonts w:eastAsia="Times New Roman"/>
          <w:i/>
          <w:iCs/>
          <w:sz w:val="24"/>
          <w:szCs w:val="24"/>
        </w:rPr>
        <w:t>„Súd je oprávnený požadovať od exekútora vysvetlenia alebo</w:t>
      </w:r>
      <w:r>
        <w:rPr>
          <w:rFonts w:eastAsia="Times New Roman"/>
          <w:sz w:val="24"/>
          <w:szCs w:val="24"/>
        </w:rPr>
        <w:t xml:space="preserve"> </w:t>
      </w:r>
      <w:r>
        <w:rPr>
          <w:rFonts w:eastAsia="Times New Roman"/>
          <w:i/>
          <w:iCs/>
          <w:sz w:val="24"/>
          <w:szCs w:val="24"/>
        </w:rPr>
        <w:t>správy o priebehu každej exekučnej veci, ktorá bola exekútorovi pridelená, ktoré je exekútor povinný súdu v určenej lehote poskytnúť. Ak pri výkone exekúcie dochádza k prieťahom alebo porušovaniu povinností ustanovených týmto zákonom, môže súd uložiť exekútorovi vykonanie potrebných opatrení na odstránenie nedostatkov. Nesplnenie povinnosti uloženej súdom je závažným disciplinárnym previnením.“</w:t>
      </w:r>
    </w:p>
    <w:p w:rsidR="007445AD" w:rsidRDefault="007445AD">
      <w:pPr>
        <w:spacing w:line="175" w:lineRule="exact"/>
        <w:rPr>
          <w:rFonts w:eastAsia="Times New Roman"/>
          <w:sz w:val="24"/>
          <w:szCs w:val="24"/>
        </w:rPr>
      </w:pPr>
    </w:p>
    <w:p w:rsidR="007445AD" w:rsidRDefault="004E6F0B">
      <w:pPr>
        <w:numPr>
          <w:ilvl w:val="0"/>
          <w:numId w:val="2"/>
        </w:numPr>
        <w:tabs>
          <w:tab w:val="left" w:pos="205"/>
        </w:tabs>
        <w:spacing w:line="269" w:lineRule="auto"/>
        <w:ind w:left="4" w:hanging="4"/>
        <w:jc w:val="both"/>
        <w:rPr>
          <w:rFonts w:eastAsia="Times New Roman"/>
          <w:sz w:val="23"/>
          <w:szCs w:val="23"/>
        </w:rPr>
      </w:pPr>
      <w:r>
        <w:rPr>
          <w:rFonts w:eastAsia="Times New Roman"/>
          <w:sz w:val="23"/>
          <w:szCs w:val="23"/>
        </w:rPr>
        <w:t xml:space="preserve">61n ods. 1 písm. f) a g) Exekučného poriadku: </w:t>
      </w:r>
      <w:r>
        <w:rPr>
          <w:rFonts w:eastAsia="Times New Roman"/>
          <w:i/>
          <w:iCs/>
          <w:sz w:val="23"/>
          <w:szCs w:val="23"/>
        </w:rPr>
        <w:t>„Exekútor vydá upovedomenie o zastavení</w:t>
      </w:r>
      <w:r>
        <w:rPr>
          <w:rFonts w:eastAsia="Times New Roman"/>
          <w:sz w:val="23"/>
          <w:szCs w:val="23"/>
        </w:rPr>
        <w:t xml:space="preserve"> </w:t>
      </w:r>
      <w:r>
        <w:rPr>
          <w:rFonts w:eastAsia="Times New Roman"/>
          <w:i/>
          <w:iCs/>
          <w:sz w:val="23"/>
          <w:szCs w:val="23"/>
        </w:rPr>
        <w:t>exekúcie, ak z osobitného predpisu, ktorým je Zákon o konkurze a reštrukturalizácii vyplýva, že</w:t>
      </w:r>
    </w:p>
    <w:p w:rsidR="007445AD" w:rsidRDefault="007445AD">
      <w:pPr>
        <w:sectPr w:rsidR="007445AD">
          <w:pgSz w:w="11900" w:h="16838"/>
          <w:pgMar w:top="1425" w:right="1406" w:bottom="1440" w:left="1416" w:header="0" w:footer="0" w:gutter="0"/>
          <w:cols w:space="708" w:equalWidth="0">
            <w:col w:w="9084"/>
          </w:cols>
        </w:sectPr>
      </w:pPr>
    </w:p>
    <w:p w:rsidR="007445AD" w:rsidRDefault="004E6F0B">
      <w:pPr>
        <w:spacing w:line="250" w:lineRule="auto"/>
        <w:ind w:left="4" w:right="20"/>
        <w:rPr>
          <w:sz w:val="20"/>
          <w:szCs w:val="20"/>
        </w:rPr>
      </w:pPr>
      <w:bookmarkStart w:id="4" w:name="page4"/>
      <w:bookmarkEnd w:id="4"/>
      <w:r>
        <w:rPr>
          <w:rFonts w:eastAsia="Times New Roman"/>
          <w:i/>
          <w:iCs/>
          <w:sz w:val="24"/>
          <w:szCs w:val="24"/>
        </w:rPr>
        <w:lastRenderedPageBreak/>
        <w:t>sa exekúcia zastavila</w:t>
      </w:r>
      <w:r>
        <w:rPr>
          <w:rFonts w:ascii="Arial" w:eastAsia="Arial" w:hAnsi="Arial" w:cs="Arial"/>
          <w:i/>
          <w:iCs/>
          <w:sz w:val="21"/>
          <w:szCs w:val="21"/>
        </w:rPr>
        <w:t>;</w:t>
      </w:r>
      <w:r>
        <w:rPr>
          <w:rFonts w:eastAsia="Times New Roman"/>
          <w:i/>
          <w:iCs/>
          <w:sz w:val="24"/>
          <w:szCs w:val="24"/>
        </w:rPr>
        <w:t xml:space="preserve"> alebo ak z osobitného predpisu, ktorým je Zákon o konkurze a reštrukturalizácii vyplýva, že tu je dôvod na zastavenie exekúcie.“</w:t>
      </w:r>
    </w:p>
    <w:p w:rsidR="007445AD" w:rsidRDefault="007445AD">
      <w:pPr>
        <w:spacing w:line="181" w:lineRule="exact"/>
        <w:rPr>
          <w:sz w:val="20"/>
          <w:szCs w:val="20"/>
        </w:rPr>
      </w:pPr>
    </w:p>
    <w:p w:rsidR="007445AD" w:rsidRDefault="004E6F0B">
      <w:pPr>
        <w:numPr>
          <w:ilvl w:val="0"/>
          <w:numId w:val="3"/>
        </w:numPr>
        <w:tabs>
          <w:tab w:val="left" w:pos="258"/>
        </w:tabs>
        <w:spacing w:line="270" w:lineRule="auto"/>
        <w:ind w:left="4" w:hanging="4"/>
        <w:jc w:val="both"/>
        <w:rPr>
          <w:rFonts w:eastAsia="Times New Roman"/>
          <w:sz w:val="23"/>
          <w:szCs w:val="23"/>
        </w:rPr>
      </w:pPr>
      <w:r>
        <w:rPr>
          <w:rFonts w:eastAsia="Times New Roman"/>
          <w:sz w:val="23"/>
          <w:szCs w:val="23"/>
        </w:rPr>
        <w:t xml:space="preserve">218a Exekučného poriadku: </w:t>
      </w:r>
      <w:r>
        <w:rPr>
          <w:rFonts w:eastAsia="Times New Roman"/>
          <w:i/>
          <w:iCs/>
          <w:sz w:val="23"/>
          <w:szCs w:val="23"/>
        </w:rPr>
        <w:t>„Fyzické osoby a právnické osoby sa môžu obracať na</w:t>
      </w:r>
      <w:r>
        <w:rPr>
          <w:rFonts w:eastAsia="Times New Roman"/>
          <w:sz w:val="23"/>
          <w:szCs w:val="23"/>
        </w:rPr>
        <w:t xml:space="preserve"> </w:t>
      </w:r>
      <w:r>
        <w:rPr>
          <w:rFonts w:eastAsia="Times New Roman"/>
          <w:i/>
          <w:iCs/>
          <w:sz w:val="23"/>
          <w:szCs w:val="23"/>
        </w:rPr>
        <w:t>ministerstvo a na komoru so sťažnosťami na činnosť komory a na činnosť exekútorov. Sťažnosti na činnosť komory vybavuje ministerstvo. Sťažnosti na činnosť exekútorov vybavuje komora. Sťažovateľ môže požiadať ministerstvo o prešetrenie vybavenia jeho sťažnosti komorou.“</w:t>
      </w:r>
    </w:p>
    <w:p w:rsidR="007445AD" w:rsidRDefault="007445AD">
      <w:pPr>
        <w:spacing w:line="161" w:lineRule="exact"/>
        <w:rPr>
          <w:rFonts w:eastAsia="Times New Roman"/>
          <w:sz w:val="23"/>
          <w:szCs w:val="23"/>
        </w:rPr>
      </w:pPr>
    </w:p>
    <w:p w:rsidR="007445AD" w:rsidRDefault="004E6F0B">
      <w:pPr>
        <w:numPr>
          <w:ilvl w:val="0"/>
          <w:numId w:val="3"/>
        </w:numPr>
        <w:tabs>
          <w:tab w:val="left" w:pos="188"/>
        </w:tabs>
        <w:spacing w:line="257" w:lineRule="auto"/>
        <w:ind w:left="4" w:hanging="4"/>
        <w:jc w:val="both"/>
        <w:rPr>
          <w:rFonts w:eastAsia="Times New Roman"/>
          <w:sz w:val="24"/>
          <w:szCs w:val="24"/>
        </w:rPr>
      </w:pPr>
      <w:r>
        <w:rPr>
          <w:rFonts w:eastAsia="Times New Roman"/>
          <w:sz w:val="24"/>
          <w:szCs w:val="24"/>
        </w:rPr>
        <w:t xml:space="preserve">218d ods. 1 Exekučného poriadku písm. a) až c): </w:t>
      </w:r>
      <w:r>
        <w:rPr>
          <w:rFonts w:eastAsia="Times New Roman"/>
          <w:i/>
          <w:iCs/>
          <w:sz w:val="24"/>
          <w:szCs w:val="24"/>
        </w:rPr>
        <w:t>„Kontrolou exekučnej činnosti sa overuje</w:t>
      </w:r>
      <w:r>
        <w:rPr>
          <w:rFonts w:eastAsia="Times New Roman"/>
          <w:sz w:val="24"/>
          <w:szCs w:val="24"/>
        </w:rPr>
        <w:t xml:space="preserve"> </w:t>
      </w:r>
      <w:r>
        <w:rPr>
          <w:rFonts w:eastAsia="Times New Roman"/>
          <w:i/>
          <w:iCs/>
          <w:sz w:val="24"/>
          <w:szCs w:val="24"/>
        </w:rPr>
        <w:t>najmä dodržiavanie všeobecne záväzných právnych predpisov exekútorom a dodržiavanie ustanovení tohto zákona pri nakladaní s prostriedkami účastníkov konania, s ktorými disponuje exekútor, ; dostupnosť, správnosť a úplnosť informácií o vykonávaných úkonoch exekútora pri hospodárení s prostriedkami účastníkov konania a správnosť vedenia a evidencie účtovných a iných dokladov preukazujúcich prijaté a poukázané plnenia; splnenie opatrení uložených na nápravu nedostatkov zistených pri kontrole exekučnej činnosti a na odstránenie príčin ich vzniku.“</w:t>
      </w:r>
    </w:p>
    <w:p w:rsidR="007445AD" w:rsidRDefault="007445AD">
      <w:pPr>
        <w:spacing w:line="180" w:lineRule="exact"/>
        <w:rPr>
          <w:rFonts w:eastAsia="Times New Roman"/>
          <w:sz w:val="24"/>
          <w:szCs w:val="24"/>
        </w:rPr>
      </w:pPr>
    </w:p>
    <w:p w:rsidR="007445AD" w:rsidRDefault="004E6F0B">
      <w:pPr>
        <w:numPr>
          <w:ilvl w:val="0"/>
          <w:numId w:val="3"/>
        </w:numPr>
        <w:tabs>
          <w:tab w:val="left" w:pos="195"/>
        </w:tabs>
        <w:spacing w:line="255" w:lineRule="auto"/>
        <w:ind w:left="4" w:right="20" w:hanging="4"/>
        <w:jc w:val="both"/>
        <w:rPr>
          <w:rFonts w:eastAsia="Times New Roman"/>
          <w:sz w:val="24"/>
          <w:szCs w:val="24"/>
        </w:rPr>
      </w:pPr>
      <w:r>
        <w:rPr>
          <w:rFonts w:eastAsia="Times New Roman"/>
          <w:sz w:val="24"/>
          <w:szCs w:val="24"/>
        </w:rPr>
        <w:t xml:space="preserve">218d ods. 2 Exekučného poriadku: </w:t>
      </w:r>
      <w:r>
        <w:rPr>
          <w:rFonts w:eastAsia="Times New Roman"/>
          <w:i/>
          <w:iCs/>
          <w:sz w:val="24"/>
          <w:szCs w:val="24"/>
        </w:rPr>
        <w:t>„Kontrolu exekučnej činnosti možno vykonať na podnet</w:t>
      </w:r>
      <w:r>
        <w:rPr>
          <w:rFonts w:eastAsia="Times New Roman"/>
          <w:sz w:val="24"/>
          <w:szCs w:val="24"/>
        </w:rPr>
        <w:t xml:space="preserve"> </w:t>
      </w:r>
      <w:r>
        <w:rPr>
          <w:rFonts w:eastAsia="Times New Roman"/>
          <w:i/>
          <w:iCs/>
          <w:sz w:val="24"/>
          <w:szCs w:val="24"/>
        </w:rPr>
        <w:t>súdu, na základe sťažností fyzických osôb a právnických osôb alebo na podnet prezidenta komory a iných orgánov komory alebo orgánov verejnej moci. Kontrola exekučnej činnosti sa vykoná vždy, ak o to požiada ministerstvo.“</w:t>
      </w:r>
    </w:p>
    <w:p w:rsidR="007445AD" w:rsidRDefault="007445AD">
      <w:pPr>
        <w:spacing w:line="178" w:lineRule="exact"/>
        <w:rPr>
          <w:rFonts w:eastAsia="Times New Roman"/>
          <w:sz w:val="24"/>
          <w:szCs w:val="24"/>
        </w:rPr>
      </w:pPr>
    </w:p>
    <w:p w:rsidR="007445AD" w:rsidRDefault="004E6F0B">
      <w:pPr>
        <w:numPr>
          <w:ilvl w:val="0"/>
          <w:numId w:val="3"/>
        </w:numPr>
        <w:tabs>
          <w:tab w:val="left" w:pos="282"/>
        </w:tabs>
        <w:spacing w:line="248" w:lineRule="auto"/>
        <w:ind w:left="4" w:right="20" w:hanging="4"/>
        <w:rPr>
          <w:rFonts w:eastAsia="Times New Roman"/>
          <w:sz w:val="24"/>
          <w:szCs w:val="24"/>
        </w:rPr>
      </w:pPr>
      <w:r>
        <w:rPr>
          <w:rFonts w:eastAsia="Times New Roman"/>
          <w:sz w:val="24"/>
          <w:szCs w:val="24"/>
        </w:rPr>
        <w:t xml:space="preserve">219 Exekučného poriadku: </w:t>
      </w:r>
      <w:r>
        <w:rPr>
          <w:rFonts w:eastAsia="Times New Roman"/>
          <w:i/>
          <w:iCs/>
          <w:sz w:val="24"/>
          <w:szCs w:val="24"/>
        </w:rPr>
        <w:t>„Exekútor je disciplinárne zodpovedný za disciplinárne</w:t>
      </w:r>
      <w:r>
        <w:rPr>
          <w:rFonts w:eastAsia="Times New Roman"/>
          <w:sz w:val="24"/>
          <w:szCs w:val="24"/>
        </w:rPr>
        <w:t xml:space="preserve"> </w:t>
      </w:r>
      <w:r>
        <w:rPr>
          <w:rFonts w:eastAsia="Times New Roman"/>
          <w:i/>
          <w:iCs/>
          <w:sz w:val="24"/>
          <w:szCs w:val="24"/>
        </w:rPr>
        <w:t>previnenie.“</w:t>
      </w:r>
    </w:p>
    <w:p w:rsidR="007445AD" w:rsidRDefault="007445AD">
      <w:pPr>
        <w:spacing w:line="186" w:lineRule="exact"/>
        <w:rPr>
          <w:rFonts w:eastAsia="Times New Roman"/>
          <w:sz w:val="24"/>
          <w:szCs w:val="24"/>
        </w:rPr>
      </w:pPr>
    </w:p>
    <w:p w:rsidR="007445AD" w:rsidRDefault="004E6F0B">
      <w:pPr>
        <w:numPr>
          <w:ilvl w:val="0"/>
          <w:numId w:val="3"/>
        </w:numPr>
        <w:tabs>
          <w:tab w:val="left" w:pos="186"/>
        </w:tabs>
        <w:spacing w:line="256" w:lineRule="auto"/>
        <w:ind w:left="4" w:right="20" w:hanging="4"/>
        <w:jc w:val="both"/>
        <w:rPr>
          <w:rFonts w:eastAsia="Times New Roman"/>
          <w:sz w:val="24"/>
          <w:szCs w:val="24"/>
        </w:rPr>
      </w:pPr>
      <w:r>
        <w:rPr>
          <w:rFonts w:eastAsia="Times New Roman"/>
          <w:sz w:val="24"/>
          <w:szCs w:val="24"/>
        </w:rPr>
        <w:t xml:space="preserve">220 ods. 1 druhá veta a ods. 2 prvá veta Exekučného poriadku: </w:t>
      </w:r>
      <w:r>
        <w:rPr>
          <w:rFonts w:eastAsia="Times New Roman"/>
          <w:i/>
          <w:iCs/>
          <w:sz w:val="24"/>
          <w:szCs w:val="24"/>
        </w:rPr>
        <w:t>„Disciplinárnym previnením</w:t>
      </w:r>
      <w:r>
        <w:rPr>
          <w:rFonts w:eastAsia="Times New Roman"/>
          <w:sz w:val="24"/>
          <w:szCs w:val="24"/>
        </w:rPr>
        <w:t xml:space="preserve"> </w:t>
      </w:r>
      <w:r>
        <w:rPr>
          <w:rFonts w:eastAsia="Times New Roman"/>
          <w:i/>
          <w:iCs/>
          <w:sz w:val="24"/>
          <w:szCs w:val="24"/>
        </w:rPr>
        <w:t>je aj zavinené konanie exekútora, ktoré má za následok prieťahy v exekučnom konaní alebo v disciplinárnom konaní. Konanie uvedené v odseku 1 je závažným disciplinárnym previnením, ak vzhľadom na povahu porušenej povinnosti, spôsob konania, mieru zavinenia, jeho opakovanie alebo iné priťažujúce okolnosti je jeho škodlivosť zvýšená.“</w:t>
      </w:r>
    </w:p>
    <w:p w:rsidR="007445AD" w:rsidRDefault="007445AD">
      <w:pPr>
        <w:spacing w:line="176" w:lineRule="exact"/>
        <w:rPr>
          <w:rFonts w:eastAsia="Times New Roman"/>
          <w:sz w:val="24"/>
          <w:szCs w:val="24"/>
        </w:rPr>
      </w:pPr>
    </w:p>
    <w:p w:rsidR="007445AD" w:rsidRDefault="004E6F0B">
      <w:pPr>
        <w:numPr>
          <w:ilvl w:val="0"/>
          <w:numId w:val="3"/>
        </w:numPr>
        <w:tabs>
          <w:tab w:val="left" w:pos="203"/>
        </w:tabs>
        <w:spacing w:line="256" w:lineRule="auto"/>
        <w:ind w:left="4" w:hanging="4"/>
        <w:jc w:val="both"/>
        <w:rPr>
          <w:rFonts w:eastAsia="Times New Roman"/>
          <w:sz w:val="24"/>
          <w:szCs w:val="24"/>
        </w:rPr>
      </w:pPr>
      <w:r>
        <w:rPr>
          <w:rFonts w:eastAsia="Times New Roman"/>
          <w:sz w:val="24"/>
          <w:szCs w:val="24"/>
        </w:rPr>
        <w:t xml:space="preserve">223 ods. 2 prvá veta Exekučného poriadku: </w:t>
      </w:r>
      <w:r>
        <w:rPr>
          <w:rFonts w:eastAsia="Times New Roman"/>
          <w:i/>
          <w:iCs/>
          <w:sz w:val="24"/>
          <w:szCs w:val="24"/>
        </w:rPr>
        <w:t>„Návrh na začatie disciplinárneho konania je</w:t>
      </w:r>
      <w:r>
        <w:rPr>
          <w:rFonts w:eastAsia="Times New Roman"/>
          <w:sz w:val="24"/>
          <w:szCs w:val="24"/>
        </w:rPr>
        <w:t xml:space="preserve"> </w:t>
      </w:r>
      <w:r>
        <w:rPr>
          <w:rFonts w:eastAsia="Times New Roman"/>
          <w:i/>
          <w:iCs/>
          <w:sz w:val="24"/>
          <w:szCs w:val="24"/>
        </w:rPr>
        <w:t>oprávnený podať minister, predseda súdu, prezident komory a predseda kontrolnej komisie ... , ak ide o disciplinárne previnenie, ktorého sa exekútor dopustil zavineným konaním, ktoré má za následok prieťahy v exekučnom konaní, najneskôr do štyroch rokov odo dňa, keď došlo k disciplinárnemu previneniu.“</w:t>
      </w:r>
    </w:p>
    <w:p w:rsidR="007445AD" w:rsidRDefault="007445AD">
      <w:pPr>
        <w:spacing w:line="177" w:lineRule="exact"/>
        <w:rPr>
          <w:rFonts w:eastAsia="Times New Roman"/>
          <w:sz w:val="24"/>
          <w:szCs w:val="24"/>
        </w:rPr>
      </w:pPr>
    </w:p>
    <w:p w:rsidR="007445AD" w:rsidRDefault="004E6F0B">
      <w:pPr>
        <w:numPr>
          <w:ilvl w:val="0"/>
          <w:numId w:val="3"/>
        </w:numPr>
        <w:tabs>
          <w:tab w:val="left" w:pos="172"/>
        </w:tabs>
        <w:spacing w:line="253" w:lineRule="auto"/>
        <w:ind w:left="4" w:right="20" w:hanging="4"/>
        <w:jc w:val="both"/>
        <w:rPr>
          <w:rFonts w:eastAsia="Times New Roman"/>
          <w:sz w:val="24"/>
          <w:szCs w:val="24"/>
        </w:rPr>
      </w:pPr>
      <w:r>
        <w:rPr>
          <w:rFonts w:eastAsia="Times New Roman"/>
          <w:sz w:val="24"/>
          <w:szCs w:val="24"/>
        </w:rPr>
        <w:t xml:space="preserve">228a ods. 1 písm. a) Exekučného poriadku: </w:t>
      </w:r>
      <w:r>
        <w:rPr>
          <w:rFonts w:eastAsia="Times New Roman"/>
          <w:i/>
          <w:iCs/>
          <w:sz w:val="24"/>
          <w:szCs w:val="24"/>
        </w:rPr>
        <w:t>„Disciplinárny senát aj bez ústneho pojednávania</w:t>
      </w:r>
      <w:r>
        <w:rPr>
          <w:rFonts w:eastAsia="Times New Roman"/>
          <w:sz w:val="24"/>
          <w:szCs w:val="24"/>
        </w:rPr>
        <w:t xml:space="preserve"> </w:t>
      </w:r>
      <w:r>
        <w:rPr>
          <w:rFonts w:eastAsia="Times New Roman"/>
          <w:i/>
          <w:iCs/>
          <w:sz w:val="24"/>
          <w:szCs w:val="24"/>
        </w:rPr>
        <w:t>disciplinárne konanie zastaví, ak bol návrh na začatie disciplinárneho konania podaný oneskorene.“</w:t>
      </w:r>
    </w:p>
    <w:p w:rsidR="007445AD" w:rsidRDefault="007445AD">
      <w:pPr>
        <w:spacing w:line="180" w:lineRule="exact"/>
        <w:rPr>
          <w:rFonts w:eastAsia="Times New Roman"/>
          <w:sz w:val="24"/>
          <w:szCs w:val="24"/>
        </w:rPr>
      </w:pPr>
    </w:p>
    <w:p w:rsidR="007445AD" w:rsidRDefault="004E6F0B">
      <w:pPr>
        <w:numPr>
          <w:ilvl w:val="0"/>
          <w:numId w:val="3"/>
        </w:numPr>
        <w:tabs>
          <w:tab w:val="left" w:pos="176"/>
        </w:tabs>
        <w:spacing w:line="256" w:lineRule="auto"/>
        <w:ind w:left="4" w:hanging="4"/>
        <w:jc w:val="both"/>
        <w:rPr>
          <w:rFonts w:eastAsia="Times New Roman"/>
          <w:sz w:val="24"/>
          <w:szCs w:val="24"/>
        </w:rPr>
      </w:pPr>
      <w:r>
        <w:rPr>
          <w:rFonts w:eastAsia="Times New Roman"/>
          <w:sz w:val="24"/>
          <w:szCs w:val="24"/>
        </w:rPr>
        <w:t xml:space="preserve">13 ods. 3 Zákona č. 575/2001 Z. z. o organizácii činnosti vlády a ústredných orgánoch štátnej správy: </w:t>
      </w:r>
      <w:r>
        <w:rPr>
          <w:rFonts w:eastAsia="Times New Roman"/>
          <w:i/>
          <w:iCs/>
          <w:sz w:val="24"/>
          <w:szCs w:val="24"/>
        </w:rPr>
        <w:t>„Ministerstvo spravodlivosti Slovenskej republiky vykonáva štátny dohľad nad</w:t>
      </w:r>
      <w:r>
        <w:rPr>
          <w:rFonts w:eastAsia="Times New Roman"/>
          <w:sz w:val="24"/>
          <w:szCs w:val="24"/>
        </w:rPr>
        <w:t xml:space="preserve"> </w:t>
      </w:r>
      <w:r>
        <w:rPr>
          <w:rFonts w:eastAsia="Times New Roman"/>
          <w:i/>
          <w:iCs/>
          <w:sz w:val="24"/>
          <w:szCs w:val="24"/>
        </w:rPr>
        <w:t>činnosťou Slovenskej komory exekútorov, nad činnosťou Notárskej komory Slovenskej republiky, v zákonom ustanovenom rozsahu nad činnosťou súdnych exekútorov a nad činnosťou notárov.“</w:t>
      </w:r>
    </w:p>
    <w:p w:rsidR="007445AD" w:rsidRDefault="007445AD">
      <w:pPr>
        <w:spacing w:line="177" w:lineRule="exact"/>
        <w:rPr>
          <w:sz w:val="20"/>
          <w:szCs w:val="20"/>
        </w:rPr>
      </w:pPr>
    </w:p>
    <w:p w:rsidR="007445AD" w:rsidRDefault="004E6F0B">
      <w:pPr>
        <w:spacing w:line="269" w:lineRule="auto"/>
        <w:ind w:left="4" w:right="20"/>
        <w:jc w:val="both"/>
        <w:rPr>
          <w:sz w:val="20"/>
          <w:szCs w:val="20"/>
        </w:rPr>
      </w:pPr>
      <w:r>
        <w:rPr>
          <w:rFonts w:eastAsia="Times New Roman"/>
          <w:sz w:val="23"/>
          <w:szCs w:val="23"/>
        </w:rPr>
        <w:t xml:space="preserve">Organizačný poriadok č. 12/2016 v znení neskorších inštrukcií písm. a) a d): </w:t>
      </w:r>
      <w:r>
        <w:rPr>
          <w:rFonts w:eastAsia="Times New Roman"/>
          <w:i/>
          <w:iCs/>
          <w:sz w:val="23"/>
          <w:szCs w:val="23"/>
        </w:rPr>
        <w:t>„Odbor dohľadu</w:t>
      </w:r>
      <w:r>
        <w:rPr>
          <w:rFonts w:eastAsia="Times New Roman"/>
          <w:sz w:val="23"/>
          <w:szCs w:val="23"/>
        </w:rPr>
        <w:t xml:space="preserve"> </w:t>
      </w:r>
      <w:r>
        <w:rPr>
          <w:rFonts w:eastAsia="Times New Roman"/>
          <w:i/>
          <w:iCs/>
          <w:sz w:val="23"/>
          <w:szCs w:val="23"/>
        </w:rPr>
        <w:t>nad právnickými profesiami vybavuje agendu súvisiacu so štátnym dohľadom ministerstva nad činnosťou Slovenskej komory exekútorov a činnosťou súdnych exekútorov, vybavuje sťažnosti na činnosť Slovenskej komory exekútorov a prešetruje vybavenie sťažnosti Slovenskou komorou</w:t>
      </w:r>
    </w:p>
    <w:p w:rsidR="007445AD" w:rsidRDefault="007445AD">
      <w:pPr>
        <w:sectPr w:rsidR="007445AD">
          <w:pgSz w:w="11900" w:h="16838"/>
          <w:pgMar w:top="1425" w:right="1406" w:bottom="902" w:left="1416" w:header="0" w:footer="0" w:gutter="0"/>
          <w:cols w:space="708" w:equalWidth="0">
            <w:col w:w="9084"/>
          </w:cols>
        </w:sectPr>
      </w:pPr>
    </w:p>
    <w:p w:rsidR="007445AD" w:rsidRDefault="004E6F0B">
      <w:pPr>
        <w:spacing w:line="256" w:lineRule="auto"/>
        <w:ind w:left="4" w:right="20"/>
        <w:jc w:val="both"/>
        <w:rPr>
          <w:sz w:val="20"/>
          <w:szCs w:val="20"/>
        </w:rPr>
      </w:pPr>
      <w:bookmarkStart w:id="5" w:name="page5"/>
      <w:bookmarkEnd w:id="5"/>
      <w:r>
        <w:rPr>
          <w:rFonts w:eastAsia="Times New Roman"/>
          <w:i/>
          <w:iCs/>
          <w:sz w:val="24"/>
          <w:szCs w:val="24"/>
        </w:rPr>
        <w:lastRenderedPageBreak/>
        <w:t>exekútorov, vykonáva pôsobnosť v súvislosti s vyvodzovaním zodpovednosti Slovenskej komory exekútorov a súdnych exekútorov a výberovým konaním na funkciu súdneho exekútora a spolupracuje na príprave návrhov všeobecne záväzných právnych predpisov týkajúcich sa exekučného práva; plní úlohy spojené s disciplinárnym konaním proti súdnym exekútorom, notárom, advokátom vrátane zastupovania pred súdmi v týchto veciach.“</w:t>
      </w:r>
    </w:p>
    <w:p w:rsidR="007445AD" w:rsidRDefault="007445AD">
      <w:pPr>
        <w:spacing w:line="179" w:lineRule="exact"/>
        <w:rPr>
          <w:sz w:val="20"/>
          <w:szCs w:val="20"/>
        </w:rPr>
      </w:pPr>
    </w:p>
    <w:p w:rsidR="007445AD" w:rsidRDefault="004E6F0B">
      <w:pPr>
        <w:spacing w:line="257" w:lineRule="auto"/>
        <w:ind w:left="4" w:right="20"/>
        <w:jc w:val="both"/>
        <w:rPr>
          <w:sz w:val="20"/>
          <w:szCs w:val="20"/>
        </w:rPr>
      </w:pPr>
      <w:r>
        <w:rPr>
          <w:rFonts w:eastAsia="Times New Roman"/>
          <w:sz w:val="24"/>
          <w:szCs w:val="24"/>
        </w:rPr>
        <w:t xml:space="preserve">§ 9 ods. 1 prvá a druhá veta pre bodkočiarkou Zákona č. 514/2003 Z. z. o zodpovednosti za škodu spôsobenú pri výkone verejnej moci a o zmene niektorých zákonov: </w:t>
      </w:r>
      <w:r>
        <w:rPr>
          <w:rFonts w:eastAsia="Times New Roman"/>
          <w:i/>
          <w:iCs/>
          <w:sz w:val="24"/>
          <w:szCs w:val="24"/>
        </w:rPr>
        <w:t>„Štát zodpovedá za škodu spôsobenú nesprávnym úradným postupom. Za nesprávny úradný postup sa považuje aj porušenie povinnosti orgánu verejnej moci urobiť úkon alebo vydať rozhodnutie v zákonom ustanovenej lehote, nečinnosť orgánu verejnej moci pri výkone verejnej moci, zbytočné prieťahy v konaní alebo iný nezákonný zásah do práv, právom chránených záujmov fyzických osôb a právnických osôb... .“</w:t>
      </w:r>
    </w:p>
    <w:p w:rsidR="007445AD" w:rsidRDefault="007445AD">
      <w:pPr>
        <w:spacing w:line="164" w:lineRule="exact"/>
        <w:rPr>
          <w:sz w:val="20"/>
          <w:szCs w:val="20"/>
        </w:rPr>
      </w:pPr>
    </w:p>
    <w:p w:rsidR="007445AD" w:rsidRDefault="004E6F0B">
      <w:pPr>
        <w:tabs>
          <w:tab w:val="left" w:pos="543"/>
        </w:tabs>
        <w:ind w:left="4"/>
        <w:rPr>
          <w:sz w:val="20"/>
          <w:szCs w:val="20"/>
        </w:rPr>
      </w:pPr>
      <w:r>
        <w:rPr>
          <w:rFonts w:eastAsia="Times New Roman"/>
          <w:b/>
          <w:bCs/>
          <w:sz w:val="24"/>
          <w:szCs w:val="24"/>
        </w:rPr>
        <w:t>1.2.</w:t>
      </w:r>
      <w:r>
        <w:rPr>
          <w:sz w:val="20"/>
          <w:szCs w:val="20"/>
        </w:rPr>
        <w:tab/>
      </w:r>
      <w:r>
        <w:rPr>
          <w:rFonts w:eastAsia="Times New Roman"/>
          <w:b/>
          <w:bCs/>
          <w:sz w:val="23"/>
          <w:szCs w:val="23"/>
        </w:rPr>
        <w:t>Výklad právneho základu analýzy</w:t>
      </w:r>
    </w:p>
    <w:p w:rsidR="007445AD" w:rsidRDefault="007445AD">
      <w:pPr>
        <w:spacing w:line="195" w:lineRule="exact"/>
        <w:rPr>
          <w:sz w:val="20"/>
          <w:szCs w:val="20"/>
        </w:rPr>
      </w:pPr>
    </w:p>
    <w:p w:rsidR="007445AD" w:rsidRDefault="004E6F0B">
      <w:pPr>
        <w:spacing w:line="258" w:lineRule="auto"/>
        <w:ind w:left="4"/>
        <w:jc w:val="both"/>
        <w:rPr>
          <w:sz w:val="20"/>
          <w:szCs w:val="20"/>
        </w:rPr>
      </w:pPr>
      <w:r>
        <w:rPr>
          <w:rFonts w:eastAsia="Times New Roman"/>
          <w:sz w:val="24"/>
          <w:szCs w:val="24"/>
        </w:rPr>
        <w:t xml:space="preserve">Výklad § 167f ods. 1, 2 a 4 Zákona o konkurze a reštrukturalizácii: </w:t>
      </w:r>
      <w:r>
        <w:rPr>
          <w:rFonts w:eastAsia="Times New Roman"/>
          <w:i/>
          <w:iCs/>
          <w:sz w:val="24"/>
          <w:szCs w:val="24"/>
        </w:rPr>
        <w:t>„Na majetok, ktorý</w:t>
      </w:r>
      <w:r>
        <w:rPr>
          <w:rFonts w:eastAsia="Times New Roman"/>
          <w:sz w:val="24"/>
          <w:szCs w:val="24"/>
        </w:rPr>
        <w:t xml:space="preserve"> </w:t>
      </w:r>
      <w:r>
        <w:rPr>
          <w:rFonts w:eastAsia="Times New Roman"/>
          <w:i/>
          <w:iCs/>
          <w:sz w:val="24"/>
          <w:szCs w:val="24"/>
        </w:rPr>
        <w:t>podlieha konkurzu, novela nepripúšťa po vyhlásenie oddlžovacieho konkurzu pokračovanie v exekučných alebo obdobných vykonávacím konaniach a neumožňuje začať nové konania. Toto riešenie akceptuje zmeny v Exekučnom poriadku v súvislosti s novelizáciou účinnou od 1. apríla 2017. V konaniach začatých do účinnosti tejto právnej úpravy o zastavení exekučného konania rozhoduje súd (§ 57 Exekučného poriadku), kým v konaniach začatých od 1. apríla 2017 rozhoduje o zastavení exekúcie (z dôvodu vyhlásenia konkurzu) súdny exekútor (§ 61n Exekučného poriadku). Na novú právnu úpravu konkurzu reagovali aj zmeny Exekučného poriadku a upravili postup exekútora, ak v dôsledku nevymáhateľnosti pohľadávky je exekučné konania zastavené. Exekútor vydá upovedomenie o zastavení exekúcie, ak z osobitného predpisu, ktorým je Zákon o konkurze a reštrukturalizácii vyplýva, že sa exekúcia zastavila, alebo z osobitného predpisu vyplýva, že tu je dôvod na zastavenie exekúcie. Ak je dôvod na zastavenie exekúcie v celosti, v upovedomení o zastavení exekúcie exekútor vyzve oprávneného na zaplatenie náhrady výdavkov. Upovedomenie o zastavení exekúcie spolu s výzvou na zaplatenie náhrady výdavkov doručí exekútor účastníkom konania. Zákon nadbytočne stanovuje, že exekučné záložné právo vyhlásením konkurzu zaniká, pretože v dôsledku zastavenia exekučného konania exekučné záložné právo zaniká ipso iure.“</w:t>
      </w:r>
    </w:p>
    <w:p w:rsidR="007445AD" w:rsidRDefault="007445AD">
      <w:pPr>
        <w:spacing w:line="159" w:lineRule="exact"/>
        <w:rPr>
          <w:sz w:val="20"/>
          <w:szCs w:val="20"/>
        </w:rPr>
      </w:pPr>
    </w:p>
    <w:p w:rsidR="007445AD" w:rsidRDefault="004E6F0B">
      <w:pPr>
        <w:spacing w:line="236" w:lineRule="auto"/>
        <w:ind w:left="4" w:right="20"/>
        <w:jc w:val="both"/>
        <w:rPr>
          <w:sz w:val="20"/>
          <w:szCs w:val="20"/>
        </w:rPr>
      </w:pPr>
      <w:r>
        <w:rPr>
          <w:rFonts w:eastAsia="Times New Roman"/>
          <w:sz w:val="24"/>
          <w:szCs w:val="24"/>
        </w:rPr>
        <w:t>Výklad § 29 ods. 3 Exekučného poriadku</w:t>
      </w:r>
      <w:r>
        <w:rPr>
          <w:rFonts w:eastAsia="Times New Roman"/>
          <w:sz w:val="32"/>
          <w:szCs w:val="32"/>
          <w:vertAlign w:val="superscript"/>
        </w:rPr>
        <w:t>1</w:t>
      </w:r>
      <w:r>
        <w:rPr>
          <w:rFonts w:eastAsia="Times New Roman"/>
          <w:sz w:val="24"/>
          <w:szCs w:val="24"/>
        </w:rPr>
        <w:t xml:space="preserve">: </w:t>
      </w:r>
      <w:r>
        <w:rPr>
          <w:rFonts w:eastAsia="Times New Roman"/>
          <w:i/>
          <w:iCs/>
          <w:sz w:val="24"/>
          <w:szCs w:val="24"/>
        </w:rPr>
        <w:t>„Účelom a cieľom exekučného konanie je</w:t>
      </w:r>
      <w:r>
        <w:rPr>
          <w:rFonts w:eastAsia="Times New Roman"/>
          <w:sz w:val="24"/>
          <w:szCs w:val="24"/>
        </w:rPr>
        <w:t xml:space="preserve"> </w:t>
      </w:r>
      <w:r>
        <w:rPr>
          <w:rFonts w:eastAsia="Times New Roman"/>
          <w:i/>
          <w:iCs/>
          <w:sz w:val="24"/>
          <w:szCs w:val="24"/>
        </w:rPr>
        <w:t>uspokojenie vymáhaného práva oprávneného za súčasnej primeranej ochrany práv povinného a tretích osôb. Súdny exekútor je teda povinný mať odborné znalosti a využívať ich pri svojom procesnom postupe v exekučnom konaní tak, aby bol naplnený cieľ konania.“</w:t>
      </w:r>
    </w:p>
    <w:p w:rsidR="007445AD" w:rsidRDefault="007445AD">
      <w:pPr>
        <w:spacing w:line="176" w:lineRule="exact"/>
        <w:rPr>
          <w:sz w:val="20"/>
          <w:szCs w:val="20"/>
        </w:rPr>
      </w:pPr>
    </w:p>
    <w:p w:rsidR="007445AD" w:rsidRDefault="004E6F0B">
      <w:pPr>
        <w:spacing w:line="255" w:lineRule="auto"/>
        <w:ind w:left="4"/>
        <w:jc w:val="both"/>
        <w:rPr>
          <w:sz w:val="20"/>
          <w:szCs w:val="20"/>
        </w:rPr>
      </w:pPr>
      <w:r>
        <w:rPr>
          <w:rFonts w:eastAsia="Times New Roman"/>
          <w:sz w:val="23"/>
          <w:szCs w:val="23"/>
        </w:rPr>
        <w:t>Výklad § 29 ods. 3 Exekučného poriadku</w:t>
      </w:r>
      <w:r>
        <w:rPr>
          <w:rFonts w:eastAsia="Times New Roman"/>
          <w:sz w:val="31"/>
          <w:szCs w:val="31"/>
          <w:vertAlign w:val="superscript"/>
        </w:rPr>
        <w:t>2</w:t>
      </w:r>
      <w:r>
        <w:rPr>
          <w:rFonts w:eastAsia="Times New Roman"/>
          <w:sz w:val="23"/>
          <w:szCs w:val="23"/>
        </w:rPr>
        <w:t xml:space="preserve">: </w:t>
      </w:r>
      <w:r>
        <w:rPr>
          <w:rFonts w:eastAsia="Times New Roman"/>
          <w:i/>
          <w:iCs/>
          <w:sz w:val="23"/>
          <w:szCs w:val="23"/>
        </w:rPr>
        <w:t>„Prieťahy v</w:t>
      </w:r>
      <w:r>
        <w:rPr>
          <w:rFonts w:eastAsia="Times New Roman"/>
          <w:sz w:val="23"/>
          <w:szCs w:val="23"/>
        </w:rPr>
        <w:t xml:space="preserve"> </w:t>
      </w:r>
      <w:r>
        <w:rPr>
          <w:rFonts w:eastAsia="Times New Roman"/>
          <w:i/>
          <w:iCs/>
          <w:sz w:val="23"/>
          <w:szCs w:val="23"/>
        </w:rPr>
        <w:t>konaní možno charakterizovať ako</w:t>
      </w:r>
      <w:r>
        <w:rPr>
          <w:rFonts w:eastAsia="Times New Roman"/>
          <w:sz w:val="23"/>
          <w:szCs w:val="23"/>
        </w:rPr>
        <w:t xml:space="preserve"> </w:t>
      </w:r>
      <w:r>
        <w:rPr>
          <w:rFonts w:eastAsia="Times New Roman"/>
          <w:i/>
          <w:iCs/>
          <w:sz w:val="23"/>
          <w:szCs w:val="23"/>
        </w:rPr>
        <w:t>neprimeranú celkovú dĺžku konania, resp. neprimerane dlhý čas medzi jednotlivými procesnými úkonmi, ktoré spôsobia nenaplnenie legitímnych očakávaním účastníkov konania. Otázkou zostáva, ktoré očakávania sú v exekučnom konaní legitímne. U všetkých zúčastnených subjektov je nepochybne legitímnou požiadavkou a očakávaním primerane rýchle uskutočňovanie procesných úkonov exekučnými orgánmi. Exekučné konanie, podobne ako základné sporové</w:t>
      </w:r>
    </w:p>
    <w:p w:rsidR="007445AD" w:rsidRDefault="004E6F0B">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0</wp:posOffset>
                </wp:positionH>
                <wp:positionV relativeFrom="paragraph">
                  <wp:posOffset>165735</wp:posOffset>
                </wp:positionV>
                <wp:extent cx="182880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C1EB413" id="Shape 1"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0,13.05pt" to="2in,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" o:allowincell="f" filled="t" strokeweight=".25397mm">
                <v:stroke joinstyle="miter"/>
                <o:lock v:ext="edit" shapetype="f"/>
              </v:line>
            </w:pict>
          </mc:Fallback>
        </mc:AlternateContent>
      </w:r>
    </w:p>
    <w:p w:rsidR="007445AD" w:rsidRDefault="007445AD">
      <w:pPr>
        <w:spacing w:line="267" w:lineRule="exact"/>
        <w:rPr>
          <w:sz w:val="20"/>
          <w:szCs w:val="20"/>
        </w:rPr>
      </w:pPr>
    </w:p>
    <w:p w:rsidR="007445AD" w:rsidRDefault="004E6F0B">
      <w:pPr>
        <w:numPr>
          <w:ilvl w:val="0"/>
          <w:numId w:val="4"/>
        </w:numPr>
        <w:tabs>
          <w:tab w:val="left" w:pos="104"/>
        </w:tabs>
        <w:ind w:left="104" w:hanging="104"/>
        <w:rPr>
          <w:rFonts w:ascii="Calibri" w:eastAsia="Calibri" w:hAnsi="Calibri" w:cs="Calibri"/>
          <w:sz w:val="26"/>
          <w:szCs w:val="26"/>
          <w:vertAlign w:val="superscript"/>
        </w:rPr>
      </w:pPr>
      <w:r>
        <w:rPr>
          <w:rFonts w:eastAsia="Times New Roman"/>
          <w:sz w:val="20"/>
          <w:szCs w:val="20"/>
        </w:rPr>
        <w:t>Števček, M., Kotrecová, A., Tomašovič, M., Molnár, P. a kol. Exekučný poriadok. Komentár. 3. vydanie. Praha</w:t>
      </w:r>
    </w:p>
    <w:p w:rsidR="007445AD" w:rsidRDefault="007445AD">
      <w:pPr>
        <w:spacing w:line="29" w:lineRule="exact"/>
        <w:rPr>
          <w:rFonts w:ascii="Calibri" w:eastAsia="Calibri" w:hAnsi="Calibri" w:cs="Calibri"/>
          <w:sz w:val="26"/>
          <w:szCs w:val="26"/>
          <w:vertAlign w:val="superscript"/>
        </w:rPr>
      </w:pPr>
    </w:p>
    <w:p w:rsidR="007445AD" w:rsidRDefault="004E6F0B">
      <w:pPr>
        <w:spacing w:line="220" w:lineRule="auto"/>
        <w:ind w:left="4"/>
        <w:rPr>
          <w:rFonts w:ascii="Calibri" w:eastAsia="Calibri" w:hAnsi="Calibri" w:cs="Calibri"/>
          <w:sz w:val="26"/>
          <w:szCs w:val="26"/>
          <w:vertAlign w:val="superscript"/>
        </w:rPr>
      </w:pPr>
      <w:r>
        <w:rPr>
          <w:rFonts w:eastAsia="Times New Roman"/>
          <w:sz w:val="20"/>
          <w:szCs w:val="20"/>
        </w:rPr>
        <w:t>: C. H. Beck, 2018, s. 85</w:t>
      </w:r>
    </w:p>
    <w:p w:rsidR="007445AD" w:rsidRDefault="004E6F0B">
      <w:pPr>
        <w:numPr>
          <w:ilvl w:val="0"/>
          <w:numId w:val="4"/>
        </w:numPr>
        <w:tabs>
          <w:tab w:val="left" w:pos="124"/>
        </w:tabs>
        <w:spacing w:line="184" w:lineRule="auto"/>
        <w:ind w:left="124" w:hanging="124"/>
        <w:rPr>
          <w:rFonts w:eastAsia="Times New Roman"/>
          <w:sz w:val="26"/>
          <w:szCs w:val="26"/>
          <w:vertAlign w:val="superscript"/>
        </w:rPr>
      </w:pPr>
      <w:r>
        <w:rPr>
          <w:rFonts w:eastAsia="Times New Roman"/>
          <w:sz w:val="20"/>
          <w:szCs w:val="20"/>
        </w:rPr>
        <w:t>Števček, M., Kotrecová, A., Tomašovič, M., Molnár, P. a kol. Exekučný poriadok. Komentár. 3. vydanie. Praha</w:t>
      </w:r>
    </w:p>
    <w:p w:rsidR="007445AD" w:rsidRDefault="007445AD">
      <w:pPr>
        <w:spacing w:line="18" w:lineRule="exact"/>
        <w:rPr>
          <w:rFonts w:eastAsia="Times New Roman"/>
          <w:sz w:val="26"/>
          <w:szCs w:val="26"/>
          <w:vertAlign w:val="superscript"/>
        </w:rPr>
      </w:pPr>
    </w:p>
    <w:p w:rsidR="007445AD" w:rsidRDefault="004E6F0B">
      <w:pPr>
        <w:spacing w:line="220" w:lineRule="auto"/>
        <w:ind w:left="4"/>
        <w:rPr>
          <w:rFonts w:eastAsia="Times New Roman"/>
          <w:sz w:val="26"/>
          <w:szCs w:val="26"/>
          <w:vertAlign w:val="superscript"/>
        </w:rPr>
      </w:pPr>
      <w:r>
        <w:rPr>
          <w:rFonts w:eastAsia="Times New Roman"/>
          <w:sz w:val="20"/>
          <w:szCs w:val="20"/>
        </w:rPr>
        <w:t>: C. H. Beck, 2018, s. 86 až 87</w:t>
      </w:r>
    </w:p>
    <w:p w:rsidR="007445AD" w:rsidRDefault="007445AD">
      <w:pPr>
        <w:sectPr w:rsidR="007445AD">
          <w:pgSz w:w="11900" w:h="16838"/>
          <w:pgMar w:top="1425" w:right="1406" w:bottom="853" w:left="1416" w:header="0" w:footer="0" w:gutter="0"/>
          <w:cols w:space="708" w:equalWidth="0">
            <w:col w:w="9084"/>
          </w:cols>
        </w:sectPr>
      </w:pPr>
    </w:p>
    <w:p w:rsidR="007445AD" w:rsidRDefault="004E6F0B">
      <w:pPr>
        <w:spacing w:line="258" w:lineRule="auto"/>
        <w:ind w:left="4"/>
        <w:jc w:val="both"/>
        <w:rPr>
          <w:sz w:val="20"/>
          <w:szCs w:val="20"/>
        </w:rPr>
      </w:pPr>
      <w:bookmarkStart w:id="6" w:name="page6"/>
      <w:bookmarkEnd w:id="6"/>
      <w:r>
        <w:rPr>
          <w:rFonts w:eastAsia="Times New Roman"/>
          <w:i/>
          <w:iCs/>
          <w:sz w:val="24"/>
          <w:szCs w:val="24"/>
        </w:rPr>
        <w:lastRenderedPageBreak/>
        <w:t>konanie, nie je príliš „zošnúrované“ procesnými lehotami a očakáva sa, že exekučné orgány sledujú v celom priebehu konania cieľ poskytnúť súdnu ochranu rýchlo a efektívne. Rýchlosť procesných úkonov súvisí aj s ďalším očakávaním účastníka konania, ktorým je jeho úspech v konaní, a to napr. zastavením exekúcie. Na zabezpečenie bezprieťahového výkonu exekučnej činnosti zákon zároveň exekútorovi ukladá povinnosť zamestnávať dostatočný počet zamestnancov a spĺňať materiálne a technické podmienky na riadny výkon exekučnej činnosti. Exekútor má zamestnávať primeraný počet zamestnancov, aby bol jeho úrad schopný vykonávať všetky činnosti v primeraných lehotách, bez zbytočných prieťahov a s odbornou starostlivosťou. Povinnosť exekútora zamestnávať primeraný počet zamestnancov vyvoláva určité koncepčné a aplikačné otázniky, pretože môže dochádzať k disproporcii medzi administratívnou náročnosťou výkonu exekučnej činnosti a ekonomickou úspešnosťou konkrétneho exekútorského úradu. Technické podmienky zahŕňajú aj softvérové vybavenie umožňujúce sledovanie lehôt na plnenie notifikačných povinností ako aj analytické vedenie evidencie exekučných vecí a spisov. Splnenie tejto povinnosti je aj predmetom overenia zo strany Slovenskej komory Exekútorov.“</w:t>
      </w:r>
    </w:p>
    <w:p w:rsidR="007445AD" w:rsidRDefault="007445AD">
      <w:pPr>
        <w:spacing w:line="160" w:lineRule="exact"/>
        <w:rPr>
          <w:sz w:val="20"/>
          <w:szCs w:val="20"/>
        </w:rPr>
      </w:pPr>
    </w:p>
    <w:p w:rsidR="007445AD" w:rsidRDefault="004E6F0B">
      <w:pPr>
        <w:spacing w:line="254" w:lineRule="auto"/>
        <w:ind w:left="4"/>
        <w:jc w:val="both"/>
        <w:rPr>
          <w:sz w:val="20"/>
          <w:szCs w:val="20"/>
        </w:rPr>
      </w:pPr>
      <w:r>
        <w:rPr>
          <w:rFonts w:eastAsia="Times New Roman"/>
          <w:sz w:val="24"/>
          <w:szCs w:val="24"/>
        </w:rPr>
        <w:t>Výklad § 31 ods. 1 prvá veta, druhá veta a ods. 3 Exekučného poriadku</w:t>
      </w:r>
      <w:r>
        <w:rPr>
          <w:rFonts w:eastAsia="Times New Roman"/>
          <w:sz w:val="32"/>
          <w:szCs w:val="32"/>
          <w:vertAlign w:val="superscript"/>
        </w:rPr>
        <w:t>3</w:t>
      </w:r>
      <w:r>
        <w:rPr>
          <w:rFonts w:eastAsia="Times New Roman"/>
          <w:sz w:val="24"/>
          <w:szCs w:val="24"/>
        </w:rPr>
        <w:t xml:space="preserve">: </w:t>
      </w:r>
      <w:r>
        <w:rPr>
          <w:rFonts w:eastAsia="Times New Roman"/>
          <w:i/>
          <w:iCs/>
          <w:sz w:val="24"/>
          <w:szCs w:val="24"/>
        </w:rPr>
        <w:t>„Napriek záveru, že</w:t>
      </w:r>
      <w:r>
        <w:rPr>
          <w:rFonts w:eastAsia="Times New Roman"/>
          <w:sz w:val="24"/>
          <w:szCs w:val="24"/>
        </w:rPr>
        <w:t xml:space="preserve"> </w:t>
      </w:r>
      <w:r>
        <w:rPr>
          <w:rFonts w:eastAsia="Times New Roman"/>
          <w:i/>
          <w:iCs/>
          <w:sz w:val="24"/>
          <w:szCs w:val="24"/>
        </w:rPr>
        <w:t>súdneho exekútora v súvislosti s výkonom exekučnej činnosti možno považovať za verejného činiteľa, keďže je pochybne zároveň aj orgánom ochrany práva, je zodpovednosť za škodu konštruovaná iným spôsobom. V exekučných konaniach pred nadobudnutím účinnosti novely č. 2/2017 Z. z. nebola vylúčená ani všeobecná zodpovednosť za škodu súdneho exekútora podľa Občianskeho zákonníka, avšak zákon v skoršom znení ustanovenia § 33 priorizoval zodpovednosť podľa osobitného predpisu s odkazom na zákon č. 514/2013 Z. z. o zodpovednosti za škodu spôsobenú pri výkone verejnej moci a o zmene niektorých zákonov. V prípadoch, keď má poškodený nárok na náhradu škody voči štátu aj voči súdnemu exekútorovi, pričom táto zodpovednosť je spoločná a nerozdielna, poškodený sa môže rozhodnúť, či uplatní škodu iba voči štátu, alebo iba voči súdnemu exekútorovi, prípadne nie je vylúčené, aby škodu uplatňoval súčasne o oboch subjektov. Zhodne o možnosti súbežného uplatnenia nárokov konštatuje aj Najvyšší súd Slovenskej republiky v Uznesení z 23. marca 2016, sp. Zn. 3 Cdo 75/2015, E 74/2016). Pre vznik zodpovednosti za škodu podľa Občianskeho zákonníka musia byť splnené predpoklady, ktorými sú protiprávnosť, vznik škody, príčinná súvislosť medzi protiprávnosťou a vznikom škody a prezumované zavinenie. Pokiaľ ide o zavinenie, v prípade zodpovednosti súdneho exekútora za škodu nejde o absolútnu objektívnu zodpovednosť. Súdny exekútor má možnosť sa vyviniť zo zodpovednosti za škodu za predpokladu, že preukáže, že postupoval s odbornou starostlivosťou.“</w:t>
      </w:r>
    </w:p>
    <w:p w:rsidR="007445AD" w:rsidRDefault="007445AD">
      <w:pPr>
        <w:spacing w:line="172" w:lineRule="exact"/>
        <w:rPr>
          <w:sz w:val="20"/>
          <w:szCs w:val="20"/>
        </w:rPr>
      </w:pPr>
    </w:p>
    <w:p w:rsidR="007445AD" w:rsidRDefault="004E6F0B">
      <w:pPr>
        <w:spacing w:line="216" w:lineRule="auto"/>
        <w:ind w:left="4" w:right="20"/>
        <w:jc w:val="both"/>
        <w:rPr>
          <w:sz w:val="20"/>
          <w:szCs w:val="20"/>
        </w:rPr>
      </w:pPr>
      <w:r>
        <w:rPr>
          <w:rFonts w:eastAsia="Times New Roman"/>
          <w:sz w:val="24"/>
          <w:szCs w:val="24"/>
        </w:rPr>
        <w:t xml:space="preserve">Výklad § 32 Exekučného poriadku: </w:t>
      </w:r>
      <w:r>
        <w:rPr>
          <w:rFonts w:eastAsia="Times New Roman"/>
          <w:i/>
          <w:iCs/>
          <w:sz w:val="32"/>
          <w:szCs w:val="32"/>
          <w:vertAlign w:val="superscript"/>
        </w:rPr>
        <w:t>4</w:t>
      </w:r>
      <w:r>
        <w:rPr>
          <w:rFonts w:eastAsia="Times New Roman"/>
          <w:i/>
          <w:iCs/>
          <w:sz w:val="24"/>
          <w:szCs w:val="24"/>
        </w:rPr>
        <w:t>„Prejavom kontrolnej úlohy štátu vo vzťahu k exekučnej</w:t>
      </w:r>
      <w:r>
        <w:rPr>
          <w:rFonts w:eastAsia="Times New Roman"/>
          <w:sz w:val="24"/>
          <w:szCs w:val="24"/>
        </w:rPr>
        <w:t xml:space="preserve"> </w:t>
      </w:r>
      <w:r>
        <w:rPr>
          <w:rFonts w:eastAsia="Times New Roman"/>
          <w:i/>
          <w:iCs/>
          <w:sz w:val="24"/>
          <w:szCs w:val="24"/>
        </w:rPr>
        <w:t>činnosti sú dopytovanie a pokynové oprávnenia exekučného súdu voči exekútorovi</w:t>
      </w:r>
    </w:p>
    <w:p w:rsidR="007445AD" w:rsidRDefault="007445AD">
      <w:pPr>
        <w:spacing w:line="36" w:lineRule="exact"/>
        <w:rPr>
          <w:sz w:val="20"/>
          <w:szCs w:val="20"/>
        </w:rPr>
      </w:pPr>
    </w:p>
    <w:p w:rsidR="007445AD" w:rsidRDefault="004E6F0B">
      <w:pPr>
        <w:numPr>
          <w:ilvl w:val="0"/>
          <w:numId w:val="5"/>
        </w:numPr>
        <w:tabs>
          <w:tab w:val="left" w:pos="169"/>
        </w:tabs>
        <w:spacing w:line="269" w:lineRule="auto"/>
        <w:ind w:left="4" w:right="20" w:hanging="4"/>
        <w:jc w:val="both"/>
        <w:rPr>
          <w:rFonts w:eastAsia="Times New Roman"/>
          <w:i/>
          <w:iCs/>
          <w:sz w:val="23"/>
          <w:szCs w:val="23"/>
        </w:rPr>
      </w:pPr>
      <w:r>
        <w:rPr>
          <w:rFonts w:eastAsia="Times New Roman"/>
          <w:i/>
          <w:iCs/>
          <w:sz w:val="23"/>
          <w:szCs w:val="23"/>
        </w:rPr>
        <w:t>konkrétnom exekučnom konaní. Exekučný súd má oprávnenie žiadať od exekútora vysvetlenia ku konkrétnej otázke a správy o priebehu ktorejkoľvek jednotlivej pridelenej veci. Účelom tohto oprávnenia exekučného súdu je kontrola zákonnosti a bezprieťahovosti procesného postupu súdneho exekútora. Súd môže konať na základe podnetu zúčastnených strán exekučného</w:t>
      </w:r>
    </w:p>
    <w:p w:rsidR="007445AD" w:rsidRDefault="004E6F0B">
      <w:pPr>
        <w:spacing w:line="235" w:lineRule="auto"/>
        <w:ind w:left="4"/>
        <w:rPr>
          <w:sz w:val="20"/>
          <w:szCs w:val="20"/>
        </w:rPr>
      </w:pPr>
      <w:r>
        <w:rPr>
          <w:rFonts w:eastAsia="Times New Roman"/>
          <w:i/>
          <w:iCs/>
          <w:sz w:val="24"/>
          <w:szCs w:val="24"/>
        </w:rPr>
        <w:t>konania  a tretích  strán,  ako  aj  z vlastnej  iniciatívy.  Predpokladom  využitia  pokynového</w:t>
      </w:r>
    </w:p>
    <w:p w:rsidR="007445AD" w:rsidRDefault="004E6F0B">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0</wp:posOffset>
                </wp:positionH>
                <wp:positionV relativeFrom="paragraph">
                  <wp:posOffset>279400</wp:posOffset>
                </wp:positionV>
                <wp:extent cx="18288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8D0FE95" id="Shape 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22pt" to="2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" o:allowincell="f" filled="t" strokeweight=".25397mm">
                <v:stroke joinstyle="miter"/>
                <o:lock v:ext="edit" shapetype="f"/>
              </v:line>
            </w:pict>
          </mc:Fallback>
        </mc:AlternateContent>
      </w:r>
    </w:p>
    <w:p w:rsidR="007445AD" w:rsidRDefault="007445AD">
      <w:pPr>
        <w:spacing w:line="200" w:lineRule="exact"/>
        <w:rPr>
          <w:sz w:val="20"/>
          <w:szCs w:val="20"/>
        </w:rPr>
      </w:pPr>
    </w:p>
    <w:p w:rsidR="007445AD" w:rsidRDefault="007445AD">
      <w:pPr>
        <w:spacing w:line="245" w:lineRule="exact"/>
        <w:rPr>
          <w:sz w:val="20"/>
          <w:szCs w:val="20"/>
        </w:rPr>
      </w:pPr>
    </w:p>
    <w:p w:rsidR="007445AD" w:rsidRDefault="004E6F0B">
      <w:pPr>
        <w:numPr>
          <w:ilvl w:val="0"/>
          <w:numId w:val="6"/>
        </w:numPr>
        <w:tabs>
          <w:tab w:val="left" w:pos="104"/>
        </w:tabs>
        <w:ind w:left="104" w:hanging="104"/>
        <w:rPr>
          <w:rFonts w:ascii="Calibri" w:eastAsia="Calibri" w:hAnsi="Calibri" w:cs="Calibri"/>
          <w:sz w:val="26"/>
          <w:szCs w:val="26"/>
          <w:vertAlign w:val="superscript"/>
        </w:rPr>
      </w:pPr>
      <w:r>
        <w:rPr>
          <w:rFonts w:eastAsia="Times New Roman"/>
          <w:sz w:val="20"/>
          <w:szCs w:val="20"/>
        </w:rPr>
        <w:t>Števček, M., Kotrecová, A., Tomašovič, M., Molnár, P. a kol. Exekučný poriadok. Komentár. 3. vydanie. Praha</w:t>
      </w:r>
    </w:p>
    <w:p w:rsidR="007445AD" w:rsidRDefault="007445AD">
      <w:pPr>
        <w:spacing w:line="29" w:lineRule="exact"/>
        <w:rPr>
          <w:rFonts w:ascii="Calibri" w:eastAsia="Calibri" w:hAnsi="Calibri" w:cs="Calibri"/>
          <w:sz w:val="26"/>
          <w:szCs w:val="26"/>
          <w:vertAlign w:val="superscript"/>
        </w:rPr>
      </w:pPr>
    </w:p>
    <w:p w:rsidR="007445AD" w:rsidRDefault="004E6F0B">
      <w:pPr>
        <w:spacing w:line="220" w:lineRule="auto"/>
        <w:ind w:left="4"/>
        <w:rPr>
          <w:rFonts w:ascii="Calibri" w:eastAsia="Calibri" w:hAnsi="Calibri" w:cs="Calibri"/>
          <w:sz w:val="26"/>
          <w:szCs w:val="26"/>
          <w:vertAlign w:val="superscript"/>
        </w:rPr>
      </w:pPr>
      <w:r>
        <w:rPr>
          <w:rFonts w:eastAsia="Times New Roman"/>
          <w:sz w:val="20"/>
          <w:szCs w:val="20"/>
        </w:rPr>
        <w:t>: C. H. Beck, 2018, s. 94 až 96</w:t>
      </w:r>
    </w:p>
    <w:p w:rsidR="007445AD" w:rsidRDefault="004E6F0B">
      <w:pPr>
        <w:numPr>
          <w:ilvl w:val="0"/>
          <w:numId w:val="6"/>
        </w:numPr>
        <w:tabs>
          <w:tab w:val="left" w:pos="104"/>
        </w:tabs>
        <w:spacing w:line="184" w:lineRule="auto"/>
        <w:ind w:left="104" w:hanging="104"/>
        <w:rPr>
          <w:rFonts w:ascii="Calibri" w:eastAsia="Calibri" w:hAnsi="Calibri" w:cs="Calibri"/>
          <w:sz w:val="25"/>
          <w:szCs w:val="25"/>
          <w:vertAlign w:val="superscript"/>
        </w:rPr>
      </w:pPr>
      <w:r>
        <w:rPr>
          <w:rFonts w:eastAsia="Times New Roman"/>
          <w:sz w:val="19"/>
          <w:szCs w:val="19"/>
        </w:rPr>
        <w:t>Števček, M., Kotrecová, A., Tomašovič, M., Molnár, P. a kol. Exekučný poriadok. Komentár. 3. vydanie. Praha</w:t>
      </w:r>
    </w:p>
    <w:p w:rsidR="007445AD" w:rsidRDefault="007445AD">
      <w:pPr>
        <w:spacing w:line="27" w:lineRule="exact"/>
        <w:rPr>
          <w:rFonts w:ascii="Calibri" w:eastAsia="Calibri" w:hAnsi="Calibri" w:cs="Calibri"/>
          <w:sz w:val="25"/>
          <w:szCs w:val="25"/>
          <w:vertAlign w:val="superscript"/>
        </w:rPr>
      </w:pPr>
    </w:p>
    <w:p w:rsidR="007445AD" w:rsidRDefault="004E6F0B">
      <w:pPr>
        <w:spacing w:line="220" w:lineRule="auto"/>
        <w:ind w:left="4"/>
        <w:rPr>
          <w:rFonts w:ascii="Calibri" w:eastAsia="Calibri" w:hAnsi="Calibri" w:cs="Calibri"/>
          <w:sz w:val="25"/>
          <w:szCs w:val="25"/>
          <w:vertAlign w:val="superscript"/>
        </w:rPr>
      </w:pPr>
      <w:r>
        <w:rPr>
          <w:rFonts w:eastAsia="Times New Roman"/>
          <w:sz w:val="20"/>
          <w:szCs w:val="20"/>
        </w:rPr>
        <w:t>: C. H. Beck, 2018, s. 100 a 101</w:t>
      </w:r>
    </w:p>
    <w:p w:rsidR="007445AD" w:rsidRDefault="007445AD">
      <w:pPr>
        <w:sectPr w:rsidR="007445AD">
          <w:pgSz w:w="11900" w:h="16838"/>
          <w:pgMar w:top="1425" w:right="1406" w:bottom="853" w:left="1416" w:header="0" w:footer="0" w:gutter="0"/>
          <w:cols w:space="708" w:equalWidth="0">
            <w:col w:w="9084"/>
          </w:cols>
        </w:sectPr>
      </w:pPr>
    </w:p>
    <w:p w:rsidR="007445AD" w:rsidRDefault="004E6F0B">
      <w:pPr>
        <w:spacing w:line="257" w:lineRule="auto"/>
        <w:ind w:left="4"/>
        <w:jc w:val="both"/>
        <w:rPr>
          <w:sz w:val="20"/>
          <w:szCs w:val="20"/>
        </w:rPr>
      </w:pPr>
      <w:bookmarkStart w:id="7" w:name="page7"/>
      <w:bookmarkEnd w:id="7"/>
      <w:r>
        <w:rPr>
          <w:rFonts w:eastAsia="Times New Roman"/>
          <w:i/>
          <w:iCs/>
          <w:sz w:val="24"/>
          <w:szCs w:val="24"/>
        </w:rPr>
        <w:lastRenderedPageBreak/>
        <w:t>oprávnenia súdu je zistenie nedostatkov v procesnom postupe súdneho exekútora v konkrétnom exekučnom koananí, a to v podobe dvoch taxatívne určených skutkových podstát: prieťahov a porušenia povinností, ktoré exekútorovi ukladá Exekučný poriadok. Uloženie opatrení, ktoré sú podľa názoru súdu potrebné na odstránenie zistených nedostatkov, logicky nadväzuje na využitie dopytovacieho oprávnenia, vyjadrenie exekútora a záver súdu o nevyhnutnosti dať exekútorovi pokyn pre jeho ďalší postup v konaní. Obsah pokynu môže byť vykonanie procesného úkonu, ktorý podľa názoru súdu exekútor pri riadnom výkone svojej činnosti vykonať, alebo naopak povinnosť upustiť od vykonania určitej činnosti, ktoré podľa názoru súdu riadnemu vedeniu exekúcie odporuje.“</w:t>
      </w:r>
    </w:p>
    <w:p w:rsidR="007445AD" w:rsidRDefault="007445AD">
      <w:pPr>
        <w:spacing w:line="100" w:lineRule="exact"/>
        <w:rPr>
          <w:sz w:val="20"/>
          <w:szCs w:val="20"/>
        </w:rPr>
      </w:pPr>
    </w:p>
    <w:p w:rsidR="007445AD" w:rsidRDefault="004E6F0B">
      <w:pPr>
        <w:ind w:left="4"/>
        <w:rPr>
          <w:sz w:val="20"/>
          <w:szCs w:val="20"/>
        </w:rPr>
      </w:pPr>
      <w:r>
        <w:rPr>
          <w:rFonts w:eastAsia="Times New Roman"/>
          <w:sz w:val="24"/>
          <w:szCs w:val="24"/>
        </w:rPr>
        <w:t>Výklad § 61n ods. 1 písm. f) a g) Exekučného poriadku</w:t>
      </w:r>
      <w:r>
        <w:rPr>
          <w:rFonts w:eastAsia="Times New Roman"/>
          <w:sz w:val="32"/>
          <w:szCs w:val="32"/>
          <w:vertAlign w:val="superscript"/>
        </w:rPr>
        <w:t>5</w:t>
      </w:r>
      <w:r>
        <w:rPr>
          <w:rFonts w:eastAsia="Times New Roman"/>
          <w:sz w:val="24"/>
          <w:szCs w:val="24"/>
        </w:rPr>
        <w:t xml:space="preserve">: </w:t>
      </w:r>
      <w:r>
        <w:rPr>
          <w:rFonts w:eastAsia="Times New Roman"/>
          <w:i/>
          <w:iCs/>
          <w:sz w:val="24"/>
          <w:szCs w:val="24"/>
        </w:rPr>
        <w:t>„V</w:t>
      </w:r>
      <w:r>
        <w:rPr>
          <w:rFonts w:eastAsia="Times New Roman"/>
          <w:sz w:val="24"/>
          <w:szCs w:val="24"/>
        </w:rPr>
        <w:t xml:space="preserve"> </w:t>
      </w:r>
      <w:r>
        <w:rPr>
          <w:rFonts w:eastAsia="Times New Roman"/>
          <w:i/>
          <w:iCs/>
          <w:sz w:val="24"/>
          <w:szCs w:val="24"/>
        </w:rPr>
        <w:t>exekučných konania začatých od</w:t>
      </w:r>
    </w:p>
    <w:p w:rsidR="007445AD" w:rsidRDefault="004E6F0B">
      <w:pPr>
        <w:numPr>
          <w:ilvl w:val="0"/>
          <w:numId w:val="7"/>
        </w:numPr>
        <w:tabs>
          <w:tab w:val="left" w:pos="244"/>
        </w:tabs>
        <w:spacing w:line="230" w:lineRule="auto"/>
        <w:ind w:left="4" w:hanging="4"/>
        <w:jc w:val="both"/>
        <w:rPr>
          <w:rFonts w:eastAsia="Times New Roman"/>
          <w:i/>
          <w:iCs/>
          <w:sz w:val="24"/>
          <w:szCs w:val="24"/>
        </w:rPr>
      </w:pPr>
      <w:r>
        <w:rPr>
          <w:rFonts w:eastAsia="Times New Roman"/>
          <w:i/>
          <w:iCs/>
          <w:sz w:val="24"/>
          <w:szCs w:val="24"/>
        </w:rPr>
        <w:t>apríla 2017 právna úprava delí právomoc zastaviť exekúcie medzi obidva exekučné orgány. Účelom čiastočného zverenia tejto právomoci súdnemu exekútorovi je odbremenenie</w:t>
      </w:r>
    </w:p>
    <w:p w:rsidR="007445AD" w:rsidRDefault="007445AD">
      <w:pPr>
        <w:spacing w:line="1" w:lineRule="exact"/>
        <w:rPr>
          <w:sz w:val="20"/>
          <w:szCs w:val="20"/>
        </w:rPr>
      </w:pPr>
    </w:p>
    <w:p w:rsidR="007445AD" w:rsidRDefault="004E6F0B">
      <w:pPr>
        <w:ind w:left="4"/>
        <w:rPr>
          <w:sz w:val="20"/>
          <w:szCs w:val="20"/>
        </w:rPr>
      </w:pPr>
      <w:r>
        <w:rPr>
          <w:rFonts w:eastAsia="Times New Roman"/>
          <w:i/>
          <w:iCs/>
          <w:sz w:val="24"/>
          <w:szCs w:val="24"/>
        </w:rPr>
        <w:t>exekučného súdu od rozhodovacej agendy v prípadoch uvedených v § 61n. Ide v podstate</w:t>
      </w:r>
    </w:p>
    <w:p w:rsidR="007445AD" w:rsidRDefault="007445AD">
      <w:pPr>
        <w:spacing w:line="12" w:lineRule="exact"/>
        <w:rPr>
          <w:sz w:val="20"/>
          <w:szCs w:val="20"/>
        </w:rPr>
      </w:pPr>
    </w:p>
    <w:p w:rsidR="007445AD" w:rsidRDefault="004E6F0B">
      <w:pPr>
        <w:numPr>
          <w:ilvl w:val="0"/>
          <w:numId w:val="8"/>
        </w:numPr>
        <w:tabs>
          <w:tab w:val="left" w:pos="184"/>
        </w:tabs>
        <w:spacing w:line="250" w:lineRule="auto"/>
        <w:ind w:left="4" w:hanging="4"/>
        <w:jc w:val="both"/>
        <w:rPr>
          <w:rFonts w:eastAsia="Times New Roman"/>
          <w:i/>
          <w:iCs/>
          <w:sz w:val="23"/>
          <w:szCs w:val="23"/>
        </w:rPr>
      </w:pPr>
      <w:r>
        <w:rPr>
          <w:rFonts w:eastAsia="Times New Roman"/>
          <w:i/>
          <w:iCs/>
          <w:sz w:val="23"/>
          <w:szCs w:val="23"/>
        </w:rPr>
        <w:t>jasné, resp. potenciálne nekonfliktné procesné situácie. Napriek tomu však zákon v niektorých prípadoch pripúšťa proti rozhodnutiu súdneho exekútora procesnú obranu v podobe námietok účastníka konania. Exekútor zastavuje exekúciu vydaním upovedomia o zastavení exekúcie, ktoré doručuje účastníkom konania a (ak proti upovedomeniu neboli v stanovenej lehote podané námietky alebo tieto námietky nie sú prípustné) exekučnému súdu. Exekútor zastavuje exekúcie v zásade v celosti (vtedy je namieste hovoriť o zastavení exekučného konania a nie exekúcie, pretože procesná teória považuje za širší termín „exekučné konanie“ a pod pojmom „exekúcia“ rozumie – podľa kontextu – štádium exekučného konania, ktoré nastáva doručením poverenia na vykonanie exekúcie exekútorovi alebo vedenie exekúcie určitým spôsobom, alebo dokonca vedenie exekúcie voči konkrétnemu majetku v rámci zvoleného spôsobu vykonania exekúcie), avšak v zákonom predpokladaných prípadoch (oprávnený podal návrh na čiastočné zastavenie exekúcie; excidačná námietka napáda len určitú vec, právo alebo inú majetkovú hodnotu a oprávnený 1. nevyjadril sa excidačnej námietke v stanovenej lehote, 2. vyjadril sa k námietke kladne, 3. nepodal včas žalobu proti tretej osobe na strpenie exekúcie, 4. takúto žalobu oprávneného súd zamietol) exekútor exekúcie zastaví len v príslušnej časti. Pokiaľ</w:t>
      </w:r>
    </w:p>
    <w:p w:rsidR="007445AD" w:rsidRDefault="007445AD">
      <w:pPr>
        <w:spacing w:line="8" w:lineRule="exact"/>
        <w:rPr>
          <w:sz w:val="20"/>
          <w:szCs w:val="20"/>
        </w:rPr>
      </w:pPr>
    </w:p>
    <w:p w:rsidR="007445AD" w:rsidRDefault="004E6F0B">
      <w:pPr>
        <w:spacing w:line="250" w:lineRule="auto"/>
        <w:ind w:left="4"/>
        <w:jc w:val="both"/>
        <w:rPr>
          <w:sz w:val="20"/>
          <w:szCs w:val="20"/>
        </w:rPr>
      </w:pPr>
      <w:r>
        <w:rPr>
          <w:rFonts w:eastAsia="Times New Roman"/>
          <w:i/>
          <w:iCs/>
          <w:sz w:val="23"/>
          <w:szCs w:val="23"/>
        </w:rPr>
        <w:t>exekútor zastavuje exekúcie v celosti (t. j. exekučné konanie), spolu s upovedomením o zastavení exekúcie vydá aj výzvu oprávneného na úhradu náhrady výdavkov exekútora. Hoci pri „prvom výskyte“ zákon túto výzvu uvádza ako súčasť upovedomenia o zastavení exekúcie (ods.3 prvá veta: v upovedomení o zastavení exekúcie podľa odseku 1 exekútor„ vyzve“), následne v odseku 3 druhá veta a v odseku 4 opakovane uvádza upovedomenie a výzvu ako dva samostatné úkony. Deň skončenia exekučného konania pri zastavení exekúcie exekútorom zákon upravuje dvojako, a to dňom doručenia upovedomenia o zastavení exekúcie súdu alebo dňom právoplatnosti uznesenia exekučného súdu o zamietnutí námietok. V prvom prípade, ak námietky proti upovedomeniu o zastavení nie sú prípustní, exekútor zašle predmetné upovedomenie exekučnému súdu bezodkladne po jeho vydaní. V prípadoch, v ktorých námietky prípustné sú, exekútor upovedomenie zašle exekučnému súdu, ak námietky neboli v lehote podané. Druhý prípad sa uplatní, ak boli v lehote námietky podané. Exekučný poriadok, samozrejme, nie je jediným právnym predpisom, ktorý priamo upravuje otázky exekučného konania. Okrem lex generalis civilného práva procesného sú to napríklad právne predpisy upravujúce exekučnoprávnu imunitu určitého majetku, ale existujú aj právne predpisy upravujúce otázku ďalšieho trvania samotného exekučného konania. Tieto normy obsahujú dôvod a pokyn pre zastavenie exekúcie alebo dokonca normujú samotné zastavenie exekučného konania. V tomto druhom prípade považujeme za potrebné poukázať na určitú nelogickom</w:t>
      </w:r>
    </w:p>
    <w:p w:rsidR="007445AD" w:rsidRDefault="004E6F0B">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0</wp:posOffset>
                </wp:positionH>
                <wp:positionV relativeFrom="paragraph">
                  <wp:posOffset>234950</wp:posOffset>
                </wp:positionV>
                <wp:extent cx="182880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35910CE" id="Shape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18.5pt" to="2in,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" o:allowincell="f" filled="t" strokeweight=".25397mm">
                <v:stroke joinstyle="miter"/>
                <o:lock v:ext="edit" shapetype="f"/>
              </v:line>
            </w:pict>
          </mc:Fallback>
        </mc:AlternateContent>
      </w:r>
    </w:p>
    <w:p w:rsidR="007445AD" w:rsidRDefault="007445AD">
      <w:pPr>
        <w:sectPr w:rsidR="007445AD">
          <w:pgSz w:w="11900" w:h="16838"/>
          <w:pgMar w:top="1425" w:right="1406" w:bottom="853" w:left="1416" w:header="0" w:footer="0" w:gutter="0"/>
          <w:cols w:space="708" w:equalWidth="0">
            <w:col w:w="9084"/>
          </w:cols>
        </w:sectPr>
      </w:pPr>
    </w:p>
    <w:p w:rsidR="007445AD" w:rsidRDefault="007445AD">
      <w:pPr>
        <w:spacing w:line="395" w:lineRule="exact"/>
        <w:rPr>
          <w:sz w:val="20"/>
          <w:szCs w:val="20"/>
        </w:rPr>
      </w:pPr>
    </w:p>
    <w:p w:rsidR="007445AD" w:rsidRDefault="004E6F0B">
      <w:pPr>
        <w:numPr>
          <w:ilvl w:val="0"/>
          <w:numId w:val="9"/>
        </w:numPr>
        <w:tabs>
          <w:tab w:val="left" w:pos="104"/>
        </w:tabs>
        <w:ind w:left="104" w:hanging="104"/>
        <w:rPr>
          <w:rFonts w:ascii="Calibri" w:eastAsia="Calibri" w:hAnsi="Calibri" w:cs="Calibri"/>
          <w:sz w:val="26"/>
          <w:szCs w:val="26"/>
          <w:vertAlign w:val="superscript"/>
        </w:rPr>
      </w:pPr>
      <w:r>
        <w:rPr>
          <w:rFonts w:eastAsia="Times New Roman"/>
          <w:sz w:val="20"/>
          <w:szCs w:val="20"/>
        </w:rPr>
        <w:t>Števček, M., Kotrecová, A., Tomašovič, M., Molnár, P. a kol. Exekučný poriadok. Komentár. 3. vydanie. Praha</w:t>
      </w:r>
    </w:p>
    <w:p w:rsidR="007445AD" w:rsidRDefault="007445AD">
      <w:pPr>
        <w:spacing w:line="26" w:lineRule="exact"/>
        <w:rPr>
          <w:rFonts w:ascii="Calibri" w:eastAsia="Calibri" w:hAnsi="Calibri" w:cs="Calibri"/>
          <w:sz w:val="26"/>
          <w:szCs w:val="26"/>
          <w:vertAlign w:val="superscript"/>
        </w:rPr>
      </w:pPr>
    </w:p>
    <w:p w:rsidR="007445AD" w:rsidRDefault="004E6F0B">
      <w:pPr>
        <w:spacing w:line="220" w:lineRule="auto"/>
        <w:ind w:left="4"/>
        <w:rPr>
          <w:rFonts w:ascii="Calibri" w:eastAsia="Calibri" w:hAnsi="Calibri" w:cs="Calibri"/>
          <w:sz w:val="26"/>
          <w:szCs w:val="26"/>
          <w:vertAlign w:val="superscript"/>
        </w:rPr>
      </w:pPr>
      <w:r>
        <w:rPr>
          <w:rFonts w:eastAsia="Times New Roman"/>
          <w:sz w:val="20"/>
          <w:szCs w:val="20"/>
        </w:rPr>
        <w:t>: C. H. Beck, 2018, s. 375 a 376, s. 386 až 388</w:t>
      </w:r>
    </w:p>
    <w:p w:rsidR="007445AD" w:rsidRDefault="007445AD">
      <w:pPr>
        <w:sectPr w:rsidR="007445AD">
          <w:type w:val="continuous"/>
          <w:pgSz w:w="11900" w:h="16838"/>
          <w:pgMar w:top="1425" w:right="1406" w:bottom="853" w:left="1416" w:header="0" w:footer="0" w:gutter="0"/>
          <w:cols w:space="708" w:equalWidth="0">
            <w:col w:w="9084"/>
          </w:cols>
        </w:sectPr>
      </w:pPr>
    </w:p>
    <w:p w:rsidR="007445AD" w:rsidRDefault="004E6F0B">
      <w:pPr>
        <w:spacing w:line="239" w:lineRule="auto"/>
        <w:ind w:left="4" w:right="60"/>
        <w:jc w:val="both"/>
        <w:rPr>
          <w:sz w:val="20"/>
          <w:szCs w:val="20"/>
        </w:rPr>
      </w:pPr>
      <w:bookmarkStart w:id="8" w:name="page8"/>
      <w:bookmarkEnd w:id="8"/>
      <w:r>
        <w:rPr>
          <w:rFonts w:eastAsia="Times New Roman"/>
          <w:i/>
          <w:iCs/>
          <w:sz w:val="24"/>
          <w:szCs w:val="24"/>
        </w:rPr>
        <w:lastRenderedPageBreak/>
        <w:t>duplicity a časového posunu – pokiaľ osobitný právny predpis výslovne upravuje, že exekučné konanie sa v dôsledku určitej právnej skutočnosti zastavuje, exekučné konanie je ex lege zastavené dňom, v ktorom relevantná právna skutočnosť nastala. Nie je preto zrejmý význam potreby procesného úkonu súdneho exekútora s tým istým obsahom (vydanie upovedomenia o zastavení exekúcie, ktorá je už priamo zo zákona zastavená) a už vôbec nie je zrejmý význam časového posunu )zastavenie exekučného konania dňom doručenia upovedomenia o zastavení exekúcie exekučnému súdu, pričom k zastaveniu exekučného konania došlo už priamo zo zákona). Bez významu je aj použitie odlišnej právne terminológie (zastavenie exekúcie, zastavenie exekučného konania), pretože v prípadoch uvedených nižšie je zrejmé, že priamo zo zákona dochádza k zastaveniu exekučného konania (širší termín) a nie „len“ k zastaveniu exekúcie (užší termín, používaný podľa kontextu na označenie celého exekučného konania, časti exekučného konania od poverenia exekútora vykonaní exekúcie, jednotlivého spôsobu vedenie exekúcie alebo dokonca vedenia exekúcie voči konkrétnemu majetku povinného). Časový posun nemá relevanciu ani vo vzťahu k odblokovaniu majetku povinného, pretože vznik povinnosti súdneho exekútora odblokovať majetok povinného v tomto prípade vyvodzujeme v čase, kedy sa dozvedel o existencii dôvodu, s ktorým zákon spája zastavenie exekučného konania, pretože k zastaveniu konania už došlo a proti upovedomeniu o zastavení exekúcie nie sú prípustné námietky účastníkov konania. Povinnosť exekútora odblokovať majetok povinného až po zastavení exekučného konania vidíme v prípadoch, keď účastníci konania môžu vzniesť námietky proti upovedomeniu o zastavení exekúcie, pretože ak exekučný súd námietkam vyhovie, konanie pokračuje ďalej, Právna úprava pri regulovaní následkov relevantných právnych skutočností pre ďalšie trvanie exekučného konania rozlišuje medzi zastavením exekučného konania ex lege a zákonným príkazom pre príslušný exekučný orgán na vydanie rozhodnutia o zastavení konania. Účel tohto rozlišovania nie je na práv pohľad celkom zrejmý, pretože jednotlivé prípady obidvoch skupín obsiahnuté v Zákone o konkurze a reštrukturalizácii sú podobné a právna teória aj prax by si podľa nášho názoru vystačili s účinkami v podobe zastavenie exekučného konania ex lege aj pri nových inštitútoch oddlženia fyzickej osoby. Dikcia ide o dôvod, aby sa bez zbytočného odkladu rozhodlo o zastavení konania nepripúšťa úvahu rozhodujúceho orgánu o tom, či exekúcie zastaví alebo nie. Zákon o konkurze a reštrukturalizácii obsahuje dva prípady, keď má byť bez zbytočného odkladu rozhodnuté o zastavení exekúcie: § 167 f. ods. 2 (vyhlásenie konkurzu v konaní o oddlžení, t. j. zverejnenie uznesenia o vyhlásení konkurzu v Obchodnom vestníku) a § 169 ods. 1 druhá veta (určenie splátkového kalendára v konaní o oddlžení, t. j. zverejnenie uznesenia o určení splátkového kalendára v Obchodnom vestníku.“</w:t>
      </w:r>
    </w:p>
    <w:p w:rsidR="007445AD" w:rsidRDefault="007445AD">
      <w:pPr>
        <w:spacing w:line="202" w:lineRule="exact"/>
        <w:rPr>
          <w:sz w:val="20"/>
          <w:szCs w:val="20"/>
        </w:rPr>
      </w:pPr>
    </w:p>
    <w:p w:rsidR="007445AD" w:rsidRDefault="004E6F0B">
      <w:pPr>
        <w:spacing w:line="270" w:lineRule="auto"/>
        <w:ind w:left="4" w:right="60"/>
        <w:jc w:val="both"/>
        <w:rPr>
          <w:sz w:val="20"/>
          <w:szCs w:val="20"/>
        </w:rPr>
      </w:pPr>
      <w:r>
        <w:rPr>
          <w:rFonts w:eastAsia="Times New Roman"/>
          <w:sz w:val="23"/>
          <w:szCs w:val="23"/>
        </w:rPr>
        <w:t xml:space="preserve">Z Osobitnej časti dôvodovej správy k Návrhu Zákona z 1. júla 2016, ktorým sa mení a dopĺňa Exekučný poriadok (LP/2016/695) k § 61k Zastavenie exekúcie exekútorom: § 61k Zastavenie exekúcie zo zákona: </w:t>
      </w:r>
      <w:r>
        <w:rPr>
          <w:rFonts w:eastAsia="Times New Roman"/>
          <w:i/>
          <w:iCs/>
          <w:sz w:val="23"/>
          <w:szCs w:val="23"/>
        </w:rPr>
        <w:t>„</w:t>
      </w:r>
      <w:r>
        <w:rPr>
          <w:rFonts w:eastAsia="Times New Roman"/>
          <w:sz w:val="23"/>
          <w:szCs w:val="23"/>
        </w:rPr>
        <w:t>Exekúcia sa zastavuje, ak tak ustanovuje osobitný predpis.</w:t>
      </w:r>
      <w:r>
        <w:rPr>
          <w:rFonts w:eastAsia="Times New Roman"/>
          <w:i/>
          <w:iCs/>
          <w:sz w:val="23"/>
          <w:szCs w:val="23"/>
        </w:rPr>
        <w:t>“</w:t>
      </w:r>
      <w:r>
        <w:rPr>
          <w:rFonts w:eastAsia="Times New Roman"/>
          <w:sz w:val="23"/>
          <w:szCs w:val="23"/>
        </w:rPr>
        <w:t xml:space="preserve"> </w:t>
      </w:r>
      <w:r>
        <w:rPr>
          <w:rFonts w:eastAsia="Times New Roman"/>
          <w:i/>
          <w:iCs/>
          <w:sz w:val="23"/>
          <w:szCs w:val="23"/>
        </w:rPr>
        <w:t>-</w:t>
      </w:r>
      <w:r>
        <w:rPr>
          <w:rFonts w:eastAsia="Times New Roman"/>
          <w:sz w:val="23"/>
          <w:szCs w:val="23"/>
        </w:rPr>
        <w:t xml:space="preserve"> </w:t>
      </w:r>
      <w:r>
        <w:rPr>
          <w:rFonts w:eastAsia="Times New Roman"/>
          <w:i/>
          <w:iCs/>
          <w:sz w:val="23"/>
          <w:szCs w:val="23"/>
        </w:rPr>
        <w:t>„</w:t>
      </w:r>
      <w:r>
        <w:rPr>
          <w:rFonts w:eastAsia="Times New Roman"/>
          <w:sz w:val="23"/>
          <w:szCs w:val="23"/>
        </w:rPr>
        <w:t>Upravuje sa zastavenie exekúcie zo zákona, najmä pôjde o dôsledok konkurzného konania.</w:t>
      </w:r>
      <w:r>
        <w:rPr>
          <w:rFonts w:eastAsia="Times New Roman"/>
          <w:i/>
          <w:iCs/>
          <w:sz w:val="23"/>
          <w:szCs w:val="23"/>
        </w:rPr>
        <w:t>“</w:t>
      </w:r>
    </w:p>
    <w:p w:rsidR="007445AD" w:rsidRDefault="007445AD">
      <w:pPr>
        <w:spacing w:line="149" w:lineRule="exact"/>
        <w:rPr>
          <w:sz w:val="20"/>
          <w:szCs w:val="20"/>
        </w:rPr>
      </w:pPr>
    </w:p>
    <w:p w:rsidR="007445AD" w:rsidRDefault="004E6F0B">
      <w:pPr>
        <w:numPr>
          <w:ilvl w:val="0"/>
          <w:numId w:val="10"/>
        </w:numPr>
        <w:tabs>
          <w:tab w:val="left" w:pos="204"/>
        </w:tabs>
        <w:ind w:left="204" w:hanging="204"/>
        <w:rPr>
          <w:rFonts w:eastAsia="Times New Roman"/>
          <w:sz w:val="24"/>
          <w:szCs w:val="24"/>
        </w:rPr>
      </w:pPr>
      <w:r>
        <w:rPr>
          <w:rFonts w:eastAsia="Times New Roman"/>
          <w:sz w:val="24"/>
          <w:szCs w:val="24"/>
        </w:rPr>
        <w:t>Vyhodnotenia medzirezortného pripomienkového konania LP/2016/695:</w:t>
      </w:r>
    </w:p>
    <w:p w:rsidR="007445AD" w:rsidRDefault="007445AD">
      <w:pPr>
        <w:spacing w:line="165" w:lineRule="exact"/>
        <w:rPr>
          <w:sz w:val="20"/>
          <w:szCs w:val="20"/>
        </w:rPr>
      </w:pPr>
    </w:p>
    <w:tbl>
      <w:tblPr>
        <w:tblW w:w="0" w:type="auto"/>
        <w:tblInd w:w="14" w:type="dxa"/>
        <w:tblLayout w:type="fixed"/>
        <w:tblCellMar>
          <w:left w:w="0" w:type="dxa"/>
          <w:right w:w="0" w:type="dxa"/>
        </w:tblCellMar>
        <w:tblLook w:val="04A0" w:firstRow="1" w:lastRow="0" w:firstColumn="1" w:lastColumn="0" w:noHBand="0" w:noVBand="1"/>
      </w:tblPr>
      <w:tblGrid>
        <w:gridCol w:w="1920"/>
        <w:gridCol w:w="520"/>
        <w:gridCol w:w="300"/>
        <w:gridCol w:w="420"/>
        <w:gridCol w:w="320"/>
        <w:gridCol w:w="400"/>
        <w:gridCol w:w="260"/>
        <w:gridCol w:w="640"/>
        <w:gridCol w:w="1340"/>
        <w:gridCol w:w="3040"/>
        <w:gridCol w:w="30"/>
      </w:tblGrid>
      <w:tr w:rsidR="007445AD">
        <w:trPr>
          <w:trHeight w:val="296"/>
        </w:trPr>
        <w:tc>
          <w:tcPr>
            <w:tcW w:w="1920" w:type="dxa"/>
            <w:tcBorders>
              <w:top w:val="single" w:sz="8" w:space="0" w:color="auto"/>
              <w:left w:val="single" w:sz="8" w:space="0" w:color="auto"/>
              <w:bottom w:val="single" w:sz="8" w:space="0" w:color="auto"/>
              <w:right w:val="single" w:sz="8" w:space="0" w:color="auto"/>
            </w:tcBorders>
            <w:vAlign w:val="bottom"/>
          </w:tcPr>
          <w:p w:rsidR="007445AD" w:rsidRDefault="004E6F0B">
            <w:pPr>
              <w:ind w:left="120"/>
              <w:rPr>
                <w:sz w:val="20"/>
                <w:szCs w:val="20"/>
              </w:rPr>
            </w:pPr>
            <w:r>
              <w:rPr>
                <w:rFonts w:ascii="Arial" w:eastAsia="Arial" w:hAnsi="Arial" w:cs="Arial"/>
                <w:b/>
                <w:bCs/>
                <w:sz w:val="25"/>
                <w:szCs w:val="25"/>
              </w:rPr>
              <w:t>Subjekt</w:t>
            </w:r>
          </w:p>
        </w:tc>
        <w:tc>
          <w:tcPr>
            <w:tcW w:w="1560" w:type="dxa"/>
            <w:gridSpan w:val="4"/>
            <w:tcBorders>
              <w:top w:val="single" w:sz="8" w:space="0" w:color="auto"/>
              <w:bottom w:val="single" w:sz="8" w:space="0" w:color="auto"/>
            </w:tcBorders>
            <w:vAlign w:val="bottom"/>
          </w:tcPr>
          <w:p w:rsidR="007445AD" w:rsidRDefault="004E6F0B">
            <w:pPr>
              <w:ind w:left="100"/>
              <w:rPr>
                <w:sz w:val="20"/>
                <w:szCs w:val="20"/>
              </w:rPr>
            </w:pPr>
            <w:r>
              <w:rPr>
                <w:rFonts w:ascii="Arial" w:eastAsia="Arial" w:hAnsi="Arial" w:cs="Arial"/>
                <w:b/>
                <w:bCs/>
                <w:w w:val="95"/>
                <w:sz w:val="25"/>
                <w:szCs w:val="25"/>
              </w:rPr>
              <w:t>Pripomienka</w:t>
            </w:r>
          </w:p>
        </w:tc>
        <w:tc>
          <w:tcPr>
            <w:tcW w:w="400" w:type="dxa"/>
            <w:tcBorders>
              <w:top w:val="single" w:sz="8" w:space="0" w:color="auto"/>
              <w:bottom w:val="single" w:sz="8" w:space="0" w:color="auto"/>
            </w:tcBorders>
            <w:vAlign w:val="bottom"/>
          </w:tcPr>
          <w:p w:rsidR="007445AD" w:rsidRDefault="007445AD">
            <w:pPr>
              <w:rPr>
                <w:sz w:val="24"/>
                <w:szCs w:val="24"/>
              </w:rPr>
            </w:pPr>
          </w:p>
        </w:tc>
        <w:tc>
          <w:tcPr>
            <w:tcW w:w="260" w:type="dxa"/>
            <w:tcBorders>
              <w:top w:val="single" w:sz="8" w:space="0" w:color="auto"/>
              <w:bottom w:val="single" w:sz="8" w:space="0" w:color="auto"/>
              <w:right w:val="single" w:sz="8" w:space="0" w:color="auto"/>
            </w:tcBorders>
            <w:vAlign w:val="bottom"/>
          </w:tcPr>
          <w:p w:rsidR="007445AD" w:rsidRDefault="007445AD">
            <w:pPr>
              <w:rPr>
                <w:sz w:val="24"/>
                <w:szCs w:val="24"/>
              </w:rPr>
            </w:pPr>
          </w:p>
        </w:tc>
        <w:tc>
          <w:tcPr>
            <w:tcW w:w="640" w:type="dxa"/>
            <w:tcBorders>
              <w:top w:val="single" w:sz="8" w:space="0" w:color="auto"/>
              <w:bottom w:val="single" w:sz="8" w:space="0" w:color="auto"/>
              <w:right w:val="single" w:sz="8" w:space="0" w:color="auto"/>
            </w:tcBorders>
            <w:vAlign w:val="bottom"/>
          </w:tcPr>
          <w:p w:rsidR="007445AD" w:rsidRDefault="004E6F0B">
            <w:pPr>
              <w:ind w:left="100"/>
              <w:rPr>
                <w:sz w:val="20"/>
                <w:szCs w:val="20"/>
              </w:rPr>
            </w:pPr>
            <w:r>
              <w:rPr>
                <w:rFonts w:ascii="Arial" w:eastAsia="Arial" w:hAnsi="Arial" w:cs="Arial"/>
                <w:b/>
                <w:bCs/>
                <w:sz w:val="25"/>
                <w:szCs w:val="25"/>
              </w:rPr>
              <w:t>Typ</w:t>
            </w:r>
          </w:p>
        </w:tc>
        <w:tc>
          <w:tcPr>
            <w:tcW w:w="1340" w:type="dxa"/>
            <w:tcBorders>
              <w:top w:val="single" w:sz="8" w:space="0" w:color="auto"/>
              <w:bottom w:val="single" w:sz="8" w:space="0" w:color="auto"/>
              <w:right w:val="single" w:sz="8" w:space="0" w:color="auto"/>
            </w:tcBorders>
            <w:vAlign w:val="bottom"/>
          </w:tcPr>
          <w:p w:rsidR="007445AD" w:rsidRDefault="004E6F0B">
            <w:pPr>
              <w:ind w:left="100"/>
              <w:rPr>
                <w:sz w:val="20"/>
                <w:szCs w:val="20"/>
              </w:rPr>
            </w:pPr>
            <w:r>
              <w:rPr>
                <w:rFonts w:ascii="Arial" w:eastAsia="Arial" w:hAnsi="Arial" w:cs="Arial"/>
                <w:b/>
                <w:bCs/>
                <w:w w:val="96"/>
                <w:sz w:val="25"/>
                <w:szCs w:val="25"/>
              </w:rPr>
              <w:t>Vyhavenie</w:t>
            </w:r>
          </w:p>
        </w:tc>
        <w:tc>
          <w:tcPr>
            <w:tcW w:w="3040" w:type="dxa"/>
            <w:tcBorders>
              <w:top w:val="single" w:sz="8" w:space="0" w:color="auto"/>
              <w:bottom w:val="single" w:sz="8" w:space="0" w:color="auto"/>
              <w:right w:val="single" w:sz="8" w:space="0" w:color="auto"/>
            </w:tcBorders>
            <w:vAlign w:val="bottom"/>
          </w:tcPr>
          <w:p w:rsidR="007445AD" w:rsidRDefault="004E6F0B">
            <w:pPr>
              <w:ind w:left="100"/>
              <w:rPr>
                <w:sz w:val="20"/>
                <w:szCs w:val="20"/>
              </w:rPr>
            </w:pPr>
            <w:r>
              <w:rPr>
                <w:rFonts w:ascii="Arial" w:eastAsia="Arial" w:hAnsi="Arial" w:cs="Arial"/>
                <w:b/>
                <w:bCs/>
                <w:sz w:val="25"/>
                <w:szCs w:val="25"/>
              </w:rPr>
              <w:t>Spôsob vyhodnotenia</w:t>
            </w:r>
          </w:p>
        </w:tc>
        <w:tc>
          <w:tcPr>
            <w:tcW w:w="0" w:type="dxa"/>
            <w:vAlign w:val="bottom"/>
          </w:tcPr>
          <w:p w:rsidR="007445AD" w:rsidRDefault="007445AD">
            <w:pPr>
              <w:rPr>
                <w:sz w:val="1"/>
                <w:szCs w:val="1"/>
              </w:rPr>
            </w:pPr>
          </w:p>
        </w:tc>
      </w:tr>
      <w:tr w:rsidR="007445AD">
        <w:trPr>
          <w:trHeight w:val="174"/>
        </w:trPr>
        <w:tc>
          <w:tcPr>
            <w:tcW w:w="1920" w:type="dxa"/>
            <w:tcBorders>
              <w:left w:val="single" w:sz="8" w:space="0" w:color="auto"/>
              <w:right w:val="single" w:sz="8" w:space="0" w:color="auto"/>
            </w:tcBorders>
            <w:vAlign w:val="bottom"/>
          </w:tcPr>
          <w:p w:rsidR="007445AD" w:rsidRDefault="007445AD">
            <w:pPr>
              <w:rPr>
                <w:sz w:val="15"/>
                <w:szCs w:val="15"/>
              </w:rPr>
            </w:pPr>
          </w:p>
        </w:tc>
        <w:tc>
          <w:tcPr>
            <w:tcW w:w="520" w:type="dxa"/>
            <w:vAlign w:val="bottom"/>
          </w:tcPr>
          <w:p w:rsidR="007445AD" w:rsidRDefault="004E6F0B">
            <w:pPr>
              <w:spacing w:line="174" w:lineRule="exact"/>
              <w:ind w:left="100"/>
              <w:rPr>
                <w:sz w:val="20"/>
                <w:szCs w:val="20"/>
              </w:rPr>
            </w:pPr>
            <w:r>
              <w:rPr>
                <w:rFonts w:eastAsia="Times New Roman"/>
                <w:sz w:val="16"/>
                <w:szCs w:val="16"/>
              </w:rPr>
              <w:t>V</w:t>
            </w:r>
          </w:p>
        </w:tc>
        <w:tc>
          <w:tcPr>
            <w:tcW w:w="300" w:type="dxa"/>
            <w:vAlign w:val="bottom"/>
          </w:tcPr>
          <w:p w:rsidR="007445AD" w:rsidRDefault="004E6F0B">
            <w:pPr>
              <w:spacing w:line="174" w:lineRule="exact"/>
              <w:ind w:left="40"/>
              <w:rPr>
                <w:sz w:val="20"/>
                <w:szCs w:val="20"/>
              </w:rPr>
            </w:pPr>
            <w:r>
              <w:rPr>
                <w:rFonts w:eastAsia="Times New Roman"/>
                <w:sz w:val="16"/>
                <w:szCs w:val="16"/>
              </w:rPr>
              <w:t>čl.</w:t>
            </w:r>
          </w:p>
        </w:tc>
        <w:tc>
          <w:tcPr>
            <w:tcW w:w="420" w:type="dxa"/>
            <w:vAlign w:val="bottom"/>
          </w:tcPr>
          <w:p w:rsidR="007445AD" w:rsidRDefault="004E6F0B">
            <w:pPr>
              <w:spacing w:line="174" w:lineRule="exact"/>
              <w:jc w:val="center"/>
              <w:rPr>
                <w:sz w:val="20"/>
                <w:szCs w:val="20"/>
              </w:rPr>
            </w:pPr>
            <w:r>
              <w:rPr>
                <w:rFonts w:eastAsia="Times New Roman"/>
                <w:sz w:val="16"/>
                <w:szCs w:val="16"/>
              </w:rPr>
              <w:t>I</w:t>
            </w:r>
          </w:p>
        </w:tc>
        <w:tc>
          <w:tcPr>
            <w:tcW w:w="720" w:type="dxa"/>
            <w:gridSpan w:val="2"/>
            <w:vAlign w:val="bottom"/>
          </w:tcPr>
          <w:p w:rsidR="007445AD" w:rsidRDefault="004E6F0B">
            <w:pPr>
              <w:spacing w:line="174" w:lineRule="exact"/>
              <w:ind w:left="200"/>
              <w:rPr>
                <w:sz w:val="20"/>
                <w:szCs w:val="20"/>
              </w:rPr>
            </w:pPr>
            <w:r>
              <w:rPr>
                <w:rFonts w:eastAsia="Times New Roman"/>
                <w:sz w:val="16"/>
                <w:szCs w:val="16"/>
              </w:rPr>
              <w:t>bod</w:t>
            </w:r>
          </w:p>
        </w:tc>
        <w:tc>
          <w:tcPr>
            <w:tcW w:w="260" w:type="dxa"/>
            <w:tcBorders>
              <w:right w:val="single" w:sz="8" w:space="0" w:color="auto"/>
            </w:tcBorders>
            <w:vAlign w:val="bottom"/>
          </w:tcPr>
          <w:p w:rsidR="007445AD" w:rsidRDefault="004E6F0B">
            <w:pPr>
              <w:spacing w:line="174" w:lineRule="exact"/>
              <w:ind w:right="40"/>
              <w:jc w:val="right"/>
              <w:rPr>
                <w:sz w:val="20"/>
                <w:szCs w:val="20"/>
              </w:rPr>
            </w:pPr>
            <w:r>
              <w:rPr>
                <w:rFonts w:eastAsia="Times New Roman"/>
                <w:sz w:val="16"/>
                <w:szCs w:val="16"/>
              </w:rPr>
              <w:t>3</w:t>
            </w:r>
          </w:p>
        </w:tc>
        <w:tc>
          <w:tcPr>
            <w:tcW w:w="640" w:type="dxa"/>
            <w:tcBorders>
              <w:right w:val="single" w:sz="8" w:space="0" w:color="auto"/>
            </w:tcBorders>
            <w:vAlign w:val="bottom"/>
          </w:tcPr>
          <w:p w:rsidR="007445AD" w:rsidRDefault="007445AD">
            <w:pPr>
              <w:rPr>
                <w:sz w:val="15"/>
                <w:szCs w:val="15"/>
              </w:rPr>
            </w:pPr>
          </w:p>
        </w:tc>
        <w:tc>
          <w:tcPr>
            <w:tcW w:w="1340" w:type="dxa"/>
            <w:tcBorders>
              <w:right w:val="single" w:sz="8" w:space="0" w:color="auto"/>
            </w:tcBorders>
            <w:vAlign w:val="bottom"/>
          </w:tcPr>
          <w:p w:rsidR="007445AD" w:rsidRDefault="007445AD">
            <w:pPr>
              <w:rPr>
                <w:sz w:val="15"/>
                <w:szCs w:val="15"/>
              </w:rPr>
            </w:pPr>
          </w:p>
        </w:tc>
        <w:tc>
          <w:tcPr>
            <w:tcW w:w="3040" w:type="dxa"/>
            <w:tcBorders>
              <w:right w:val="single" w:sz="8" w:space="0" w:color="auto"/>
            </w:tcBorders>
            <w:vAlign w:val="bottom"/>
          </w:tcPr>
          <w:p w:rsidR="007445AD" w:rsidRDefault="007445AD">
            <w:pPr>
              <w:rPr>
                <w:sz w:val="15"/>
                <w:szCs w:val="15"/>
              </w:rPr>
            </w:pPr>
          </w:p>
        </w:tc>
        <w:tc>
          <w:tcPr>
            <w:tcW w:w="0" w:type="dxa"/>
            <w:vAlign w:val="bottom"/>
          </w:tcPr>
          <w:p w:rsidR="007445AD" w:rsidRDefault="007445AD">
            <w:pPr>
              <w:rPr>
                <w:sz w:val="1"/>
                <w:szCs w:val="1"/>
              </w:rPr>
            </w:pPr>
          </w:p>
        </w:tc>
      </w:tr>
      <w:tr w:rsidR="007445AD">
        <w:trPr>
          <w:trHeight w:val="185"/>
        </w:trPr>
        <w:tc>
          <w:tcPr>
            <w:tcW w:w="1920" w:type="dxa"/>
            <w:tcBorders>
              <w:left w:val="single" w:sz="8" w:space="0" w:color="auto"/>
              <w:right w:val="single" w:sz="8" w:space="0" w:color="auto"/>
            </w:tcBorders>
            <w:vAlign w:val="bottom"/>
          </w:tcPr>
          <w:p w:rsidR="007445AD" w:rsidRDefault="007445AD">
            <w:pPr>
              <w:rPr>
                <w:sz w:val="16"/>
                <w:szCs w:val="16"/>
              </w:rPr>
            </w:pPr>
          </w:p>
        </w:tc>
        <w:tc>
          <w:tcPr>
            <w:tcW w:w="2220" w:type="dxa"/>
            <w:gridSpan w:val="6"/>
            <w:tcBorders>
              <w:right w:val="single" w:sz="8" w:space="0" w:color="auto"/>
            </w:tcBorders>
            <w:vAlign w:val="bottom"/>
          </w:tcPr>
          <w:p w:rsidR="007445AD" w:rsidRDefault="004E6F0B">
            <w:pPr>
              <w:ind w:left="100"/>
              <w:rPr>
                <w:sz w:val="20"/>
                <w:szCs w:val="20"/>
              </w:rPr>
            </w:pPr>
            <w:r>
              <w:rPr>
                <w:rFonts w:eastAsia="Times New Roman"/>
                <w:sz w:val="16"/>
                <w:szCs w:val="16"/>
              </w:rPr>
              <w:t>V čl. I bod 3 odporúčame v §</w:t>
            </w:r>
          </w:p>
        </w:tc>
        <w:tc>
          <w:tcPr>
            <w:tcW w:w="640" w:type="dxa"/>
            <w:tcBorders>
              <w:right w:val="single" w:sz="8" w:space="0" w:color="auto"/>
            </w:tcBorders>
            <w:vAlign w:val="bottom"/>
          </w:tcPr>
          <w:p w:rsidR="007445AD" w:rsidRDefault="007445AD">
            <w:pPr>
              <w:rPr>
                <w:sz w:val="16"/>
                <w:szCs w:val="16"/>
              </w:rPr>
            </w:pPr>
          </w:p>
        </w:tc>
        <w:tc>
          <w:tcPr>
            <w:tcW w:w="1340" w:type="dxa"/>
            <w:tcBorders>
              <w:right w:val="single" w:sz="8" w:space="0" w:color="auto"/>
            </w:tcBorders>
            <w:vAlign w:val="bottom"/>
          </w:tcPr>
          <w:p w:rsidR="007445AD" w:rsidRDefault="007445AD">
            <w:pPr>
              <w:rPr>
                <w:sz w:val="16"/>
                <w:szCs w:val="16"/>
              </w:rPr>
            </w:pPr>
          </w:p>
        </w:tc>
        <w:tc>
          <w:tcPr>
            <w:tcW w:w="3040" w:type="dxa"/>
            <w:vMerge w:val="restart"/>
            <w:tcBorders>
              <w:right w:val="single" w:sz="8" w:space="0" w:color="auto"/>
            </w:tcBorders>
            <w:vAlign w:val="bottom"/>
          </w:tcPr>
          <w:p w:rsidR="007445AD" w:rsidRDefault="004E6F0B">
            <w:pPr>
              <w:ind w:left="100"/>
              <w:rPr>
                <w:sz w:val="20"/>
                <w:szCs w:val="20"/>
              </w:rPr>
            </w:pPr>
            <w:r>
              <w:rPr>
                <w:rFonts w:ascii="Arial" w:eastAsia="Arial" w:hAnsi="Arial" w:cs="Arial"/>
                <w:sz w:val="25"/>
                <w:szCs w:val="25"/>
              </w:rPr>
              <w:t>Ustanovenie v pôvodnom</w:t>
            </w:r>
          </w:p>
        </w:tc>
        <w:tc>
          <w:tcPr>
            <w:tcW w:w="0" w:type="dxa"/>
            <w:vAlign w:val="bottom"/>
          </w:tcPr>
          <w:p w:rsidR="007445AD" w:rsidRDefault="007445AD">
            <w:pPr>
              <w:rPr>
                <w:sz w:val="1"/>
                <w:szCs w:val="1"/>
              </w:rPr>
            </w:pPr>
          </w:p>
        </w:tc>
      </w:tr>
      <w:tr w:rsidR="007445AD">
        <w:trPr>
          <w:trHeight w:val="220"/>
        </w:trPr>
        <w:tc>
          <w:tcPr>
            <w:tcW w:w="1920" w:type="dxa"/>
            <w:vMerge w:val="restart"/>
            <w:tcBorders>
              <w:left w:val="single" w:sz="8" w:space="0" w:color="auto"/>
              <w:right w:val="single" w:sz="8" w:space="0" w:color="auto"/>
            </w:tcBorders>
            <w:vAlign w:val="bottom"/>
          </w:tcPr>
          <w:p w:rsidR="007445AD" w:rsidRDefault="004E6F0B">
            <w:pPr>
              <w:ind w:left="120"/>
              <w:rPr>
                <w:sz w:val="20"/>
                <w:szCs w:val="20"/>
              </w:rPr>
            </w:pPr>
            <w:r>
              <w:rPr>
                <w:rFonts w:ascii="Arial" w:eastAsia="Arial" w:hAnsi="Arial" w:cs="Arial"/>
                <w:b/>
                <w:bCs/>
                <w:sz w:val="25"/>
                <w:szCs w:val="25"/>
              </w:rPr>
              <w:t>MDVaRRSR</w:t>
            </w:r>
          </w:p>
        </w:tc>
        <w:tc>
          <w:tcPr>
            <w:tcW w:w="520" w:type="dxa"/>
            <w:vAlign w:val="bottom"/>
          </w:tcPr>
          <w:p w:rsidR="007445AD" w:rsidRDefault="004E6F0B">
            <w:pPr>
              <w:ind w:left="100"/>
              <w:rPr>
                <w:sz w:val="20"/>
                <w:szCs w:val="20"/>
              </w:rPr>
            </w:pPr>
            <w:r>
              <w:rPr>
                <w:rFonts w:eastAsia="Times New Roman"/>
                <w:sz w:val="16"/>
                <w:szCs w:val="16"/>
              </w:rPr>
              <w:t>61k</w:t>
            </w:r>
          </w:p>
        </w:tc>
        <w:tc>
          <w:tcPr>
            <w:tcW w:w="720" w:type="dxa"/>
            <w:gridSpan w:val="2"/>
            <w:vAlign w:val="bottom"/>
          </w:tcPr>
          <w:p w:rsidR="007445AD" w:rsidRDefault="004E6F0B">
            <w:pPr>
              <w:ind w:left="60"/>
              <w:rPr>
                <w:sz w:val="20"/>
                <w:szCs w:val="20"/>
              </w:rPr>
            </w:pPr>
            <w:r>
              <w:rPr>
                <w:rFonts w:eastAsia="Times New Roman"/>
                <w:sz w:val="16"/>
                <w:szCs w:val="16"/>
              </w:rPr>
              <w:t>doplniť</w:t>
            </w:r>
          </w:p>
        </w:tc>
        <w:tc>
          <w:tcPr>
            <w:tcW w:w="320" w:type="dxa"/>
            <w:vAlign w:val="bottom"/>
          </w:tcPr>
          <w:p w:rsidR="007445AD" w:rsidRDefault="004E6F0B">
            <w:pPr>
              <w:ind w:left="60"/>
              <w:rPr>
                <w:sz w:val="20"/>
                <w:szCs w:val="20"/>
              </w:rPr>
            </w:pPr>
            <w:r>
              <w:rPr>
                <w:rFonts w:eastAsia="Times New Roman"/>
                <w:sz w:val="16"/>
                <w:szCs w:val="16"/>
              </w:rPr>
              <w:t>nad</w:t>
            </w:r>
          </w:p>
        </w:tc>
        <w:tc>
          <w:tcPr>
            <w:tcW w:w="660" w:type="dxa"/>
            <w:gridSpan w:val="2"/>
            <w:tcBorders>
              <w:right w:val="single" w:sz="8" w:space="0" w:color="auto"/>
            </w:tcBorders>
            <w:vAlign w:val="bottom"/>
          </w:tcPr>
          <w:p w:rsidR="007445AD" w:rsidRDefault="004E6F0B">
            <w:pPr>
              <w:ind w:right="40"/>
              <w:jc w:val="right"/>
              <w:rPr>
                <w:sz w:val="20"/>
                <w:szCs w:val="20"/>
              </w:rPr>
            </w:pPr>
            <w:r>
              <w:rPr>
                <w:rFonts w:eastAsia="Times New Roman"/>
                <w:sz w:val="16"/>
                <w:szCs w:val="16"/>
              </w:rPr>
              <w:t>slová</w:t>
            </w:r>
          </w:p>
        </w:tc>
        <w:tc>
          <w:tcPr>
            <w:tcW w:w="640" w:type="dxa"/>
            <w:vMerge w:val="restart"/>
            <w:tcBorders>
              <w:right w:val="single" w:sz="8" w:space="0" w:color="auto"/>
            </w:tcBorders>
            <w:vAlign w:val="bottom"/>
          </w:tcPr>
          <w:p w:rsidR="007445AD" w:rsidRDefault="004E6F0B">
            <w:pPr>
              <w:ind w:left="100"/>
              <w:rPr>
                <w:sz w:val="20"/>
                <w:szCs w:val="20"/>
              </w:rPr>
            </w:pPr>
            <w:r>
              <w:rPr>
                <w:rFonts w:ascii="Arial" w:eastAsia="Arial" w:hAnsi="Arial" w:cs="Arial"/>
                <w:sz w:val="25"/>
                <w:szCs w:val="25"/>
              </w:rPr>
              <w:t>O</w:t>
            </w:r>
          </w:p>
        </w:tc>
        <w:tc>
          <w:tcPr>
            <w:tcW w:w="1340" w:type="dxa"/>
            <w:vMerge w:val="restart"/>
            <w:tcBorders>
              <w:right w:val="single" w:sz="8" w:space="0" w:color="auto"/>
            </w:tcBorders>
            <w:vAlign w:val="bottom"/>
          </w:tcPr>
          <w:p w:rsidR="007445AD" w:rsidRDefault="004E6F0B">
            <w:pPr>
              <w:ind w:left="100"/>
              <w:rPr>
                <w:sz w:val="20"/>
                <w:szCs w:val="20"/>
              </w:rPr>
            </w:pPr>
            <w:r>
              <w:rPr>
                <w:rFonts w:ascii="Arial" w:eastAsia="Arial" w:hAnsi="Arial" w:cs="Arial"/>
                <w:sz w:val="25"/>
                <w:szCs w:val="25"/>
              </w:rPr>
              <w:t>N</w:t>
            </w:r>
          </w:p>
        </w:tc>
        <w:tc>
          <w:tcPr>
            <w:tcW w:w="3040" w:type="dxa"/>
            <w:vMerge/>
            <w:tcBorders>
              <w:right w:val="single" w:sz="8" w:space="0" w:color="auto"/>
            </w:tcBorders>
            <w:vAlign w:val="bottom"/>
          </w:tcPr>
          <w:p w:rsidR="007445AD" w:rsidRDefault="007445AD">
            <w:pPr>
              <w:rPr>
                <w:sz w:val="19"/>
                <w:szCs w:val="19"/>
              </w:rPr>
            </w:pPr>
          </w:p>
        </w:tc>
        <w:tc>
          <w:tcPr>
            <w:tcW w:w="0" w:type="dxa"/>
            <w:vAlign w:val="bottom"/>
          </w:tcPr>
          <w:p w:rsidR="007445AD" w:rsidRDefault="007445AD">
            <w:pPr>
              <w:rPr>
                <w:sz w:val="1"/>
                <w:szCs w:val="1"/>
              </w:rPr>
            </w:pPr>
          </w:p>
        </w:tc>
      </w:tr>
      <w:tr w:rsidR="007445AD">
        <w:trPr>
          <w:trHeight w:val="155"/>
        </w:trPr>
        <w:tc>
          <w:tcPr>
            <w:tcW w:w="1920" w:type="dxa"/>
            <w:vMerge/>
            <w:tcBorders>
              <w:left w:val="single" w:sz="8" w:space="0" w:color="auto"/>
              <w:right w:val="single" w:sz="8" w:space="0" w:color="auto"/>
            </w:tcBorders>
            <w:vAlign w:val="bottom"/>
          </w:tcPr>
          <w:p w:rsidR="007445AD" w:rsidRDefault="007445AD">
            <w:pPr>
              <w:rPr>
                <w:sz w:val="13"/>
                <w:szCs w:val="13"/>
              </w:rPr>
            </w:pPr>
          </w:p>
        </w:tc>
        <w:tc>
          <w:tcPr>
            <w:tcW w:w="820" w:type="dxa"/>
            <w:gridSpan w:val="2"/>
            <w:vAlign w:val="bottom"/>
          </w:tcPr>
          <w:p w:rsidR="007445AD" w:rsidRDefault="004E6F0B">
            <w:pPr>
              <w:spacing w:line="155" w:lineRule="exact"/>
              <w:ind w:left="100"/>
              <w:rPr>
                <w:sz w:val="20"/>
                <w:szCs w:val="20"/>
              </w:rPr>
            </w:pPr>
            <w:r>
              <w:rPr>
                <w:rFonts w:eastAsia="Times New Roman"/>
                <w:sz w:val="16"/>
                <w:szCs w:val="16"/>
              </w:rPr>
              <w:t>„osobitný</w:t>
            </w:r>
          </w:p>
        </w:tc>
        <w:tc>
          <w:tcPr>
            <w:tcW w:w="1140" w:type="dxa"/>
            <w:gridSpan w:val="3"/>
            <w:vAlign w:val="bottom"/>
          </w:tcPr>
          <w:p w:rsidR="007445AD" w:rsidRDefault="004E6F0B">
            <w:pPr>
              <w:spacing w:line="155" w:lineRule="exact"/>
              <w:ind w:left="40"/>
              <w:rPr>
                <w:sz w:val="20"/>
                <w:szCs w:val="20"/>
              </w:rPr>
            </w:pPr>
            <w:r>
              <w:rPr>
                <w:rFonts w:eastAsia="Times New Roman"/>
                <w:sz w:val="16"/>
                <w:szCs w:val="16"/>
              </w:rPr>
              <w:t>predpis“  odkaz</w:t>
            </w:r>
          </w:p>
        </w:tc>
        <w:tc>
          <w:tcPr>
            <w:tcW w:w="260" w:type="dxa"/>
            <w:tcBorders>
              <w:right w:val="single" w:sz="8" w:space="0" w:color="auto"/>
            </w:tcBorders>
            <w:vAlign w:val="bottom"/>
          </w:tcPr>
          <w:p w:rsidR="007445AD" w:rsidRDefault="004E6F0B">
            <w:pPr>
              <w:spacing w:line="155" w:lineRule="exact"/>
              <w:ind w:right="40"/>
              <w:jc w:val="right"/>
              <w:rPr>
                <w:sz w:val="20"/>
                <w:szCs w:val="20"/>
              </w:rPr>
            </w:pPr>
            <w:r>
              <w:rPr>
                <w:rFonts w:eastAsia="Times New Roman"/>
                <w:sz w:val="16"/>
                <w:szCs w:val="16"/>
              </w:rPr>
              <w:t>a</w:t>
            </w:r>
          </w:p>
        </w:tc>
        <w:tc>
          <w:tcPr>
            <w:tcW w:w="640" w:type="dxa"/>
            <w:vMerge/>
            <w:tcBorders>
              <w:right w:val="single" w:sz="8" w:space="0" w:color="auto"/>
            </w:tcBorders>
            <w:vAlign w:val="bottom"/>
          </w:tcPr>
          <w:p w:rsidR="007445AD" w:rsidRDefault="007445AD">
            <w:pPr>
              <w:rPr>
                <w:sz w:val="13"/>
                <w:szCs w:val="13"/>
              </w:rPr>
            </w:pPr>
          </w:p>
        </w:tc>
        <w:tc>
          <w:tcPr>
            <w:tcW w:w="1340" w:type="dxa"/>
            <w:vMerge/>
            <w:tcBorders>
              <w:right w:val="single" w:sz="8" w:space="0" w:color="auto"/>
            </w:tcBorders>
            <w:vAlign w:val="bottom"/>
          </w:tcPr>
          <w:p w:rsidR="007445AD" w:rsidRDefault="007445AD">
            <w:pPr>
              <w:rPr>
                <w:sz w:val="13"/>
                <w:szCs w:val="13"/>
              </w:rPr>
            </w:pPr>
          </w:p>
        </w:tc>
        <w:tc>
          <w:tcPr>
            <w:tcW w:w="3040" w:type="dxa"/>
            <w:vMerge w:val="restart"/>
            <w:tcBorders>
              <w:right w:val="single" w:sz="8" w:space="0" w:color="auto"/>
            </w:tcBorders>
            <w:vAlign w:val="bottom"/>
          </w:tcPr>
          <w:p w:rsidR="007445AD" w:rsidRDefault="004E6F0B">
            <w:pPr>
              <w:ind w:left="100"/>
              <w:rPr>
                <w:sz w:val="20"/>
                <w:szCs w:val="20"/>
              </w:rPr>
            </w:pPr>
            <w:r>
              <w:rPr>
                <w:rFonts w:ascii="Arial" w:eastAsia="Arial" w:hAnsi="Arial" w:cs="Arial"/>
                <w:sz w:val="25"/>
                <w:szCs w:val="25"/>
              </w:rPr>
              <w:t>znení bolo vypustené.</w:t>
            </w:r>
          </w:p>
        </w:tc>
        <w:tc>
          <w:tcPr>
            <w:tcW w:w="0" w:type="dxa"/>
            <w:vAlign w:val="bottom"/>
          </w:tcPr>
          <w:p w:rsidR="007445AD" w:rsidRDefault="007445AD">
            <w:pPr>
              <w:rPr>
                <w:sz w:val="1"/>
                <w:szCs w:val="1"/>
              </w:rPr>
            </w:pPr>
          </w:p>
        </w:tc>
      </w:tr>
      <w:tr w:rsidR="007445AD">
        <w:trPr>
          <w:trHeight w:val="185"/>
        </w:trPr>
        <w:tc>
          <w:tcPr>
            <w:tcW w:w="1920" w:type="dxa"/>
            <w:tcBorders>
              <w:left w:val="single" w:sz="8" w:space="0" w:color="auto"/>
              <w:right w:val="single" w:sz="8" w:space="0" w:color="auto"/>
            </w:tcBorders>
            <w:vAlign w:val="bottom"/>
          </w:tcPr>
          <w:p w:rsidR="007445AD" w:rsidRDefault="007445AD">
            <w:pPr>
              <w:rPr>
                <w:sz w:val="16"/>
                <w:szCs w:val="16"/>
              </w:rPr>
            </w:pPr>
          </w:p>
        </w:tc>
        <w:tc>
          <w:tcPr>
            <w:tcW w:w="820" w:type="dxa"/>
            <w:gridSpan w:val="2"/>
            <w:vAlign w:val="bottom"/>
          </w:tcPr>
          <w:p w:rsidR="007445AD" w:rsidRDefault="004E6F0B">
            <w:pPr>
              <w:spacing w:line="177" w:lineRule="exact"/>
              <w:ind w:left="100"/>
              <w:rPr>
                <w:sz w:val="20"/>
                <w:szCs w:val="20"/>
              </w:rPr>
            </w:pPr>
            <w:r>
              <w:rPr>
                <w:rFonts w:eastAsia="Times New Roman"/>
                <w:sz w:val="16"/>
                <w:szCs w:val="16"/>
              </w:rPr>
              <w:t>poznámku</w:t>
            </w:r>
          </w:p>
        </w:tc>
        <w:tc>
          <w:tcPr>
            <w:tcW w:w="420" w:type="dxa"/>
            <w:vAlign w:val="bottom"/>
          </w:tcPr>
          <w:p w:rsidR="007445AD" w:rsidRDefault="004E6F0B">
            <w:pPr>
              <w:spacing w:line="177" w:lineRule="exact"/>
              <w:ind w:left="60"/>
              <w:jc w:val="center"/>
              <w:rPr>
                <w:sz w:val="20"/>
                <w:szCs w:val="20"/>
              </w:rPr>
            </w:pPr>
            <w:r>
              <w:rPr>
                <w:rFonts w:eastAsia="Times New Roman"/>
                <w:w w:val="99"/>
                <w:sz w:val="16"/>
                <w:szCs w:val="16"/>
              </w:rPr>
              <w:t>pod</w:t>
            </w:r>
          </w:p>
        </w:tc>
        <w:tc>
          <w:tcPr>
            <w:tcW w:w="720" w:type="dxa"/>
            <w:gridSpan w:val="2"/>
            <w:vAlign w:val="bottom"/>
          </w:tcPr>
          <w:p w:rsidR="007445AD" w:rsidRDefault="004E6F0B">
            <w:pPr>
              <w:spacing w:line="177" w:lineRule="exact"/>
              <w:ind w:left="180"/>
              <w:rPr>
                <w:sz w:val="20"/>
                <w:szCs w:val="20"/>
              </w:rPr>
            </w:pPr>
            <w:r>
              <w:rPr>
                <w:rFonts w:eastAsia="Times New Roman"/>
                <w:sz w:val="16"/>
                <w:szCs w:val="16"/>
              </w:rPr>
              <w:t>čiarou</w:t>
            </w:r>
          </w:p>
        </w:tc>
        <w:tc>
          <w:tcPr>
            <w:tcW w:w="260" w:type="dxa"/>
            <w:tcBorders>
              <w:right w:val="single" w:sz="8" w:space="0" w:color="auto"/>
            </w:tcBorders>
            <w:vAlign w:val="bottom"/>
          </w:tcPr>
          <w:p w:rsidR="007445AD" w:rsidRDefault="004E6F0B">
            <w:pPr>
              <w:spacing w:line="177" w:lineRule="exact"/>
              <w:ind w:right="40"/>
              <w:jc w:val="right"/>
              <w:rPr>
                <w:sz w:val="20"/>
                <w:szCs w:val="20"/>
              </w:rPr>
            </w:pPr>
            <w:r>
              <w:rPr>
                <w:rFonts w:eastAsia="Times New Roman"/>
                <w:sz w:val="16"/>
                <w:szCs w:val="16"/>
              </w:rPr>
              <w:t>s</w:t>
            </w:r>
          </w:p>
        </w:tc>
        <w:tc>
          <w:tcPr>
            <w:tcW w:w="640" w:type="dxa"/>
            <w:tcBorders>
              <w:right w:val="single" w:sz="8" w:space="0" w:color="auto"/>
            </w:tcBorders>
            <w:vAlign w:val="bottom"/>
          </w:tcPr>
          <w:p w:rsidR="007445AD" w:rsidRDefault="007445AD">
            <w:pPr>
              <w:rPr>
                <w:sz w:val="16"/>
                <w:szCs w:val="16"/>
              </w:rPr>
            </w:pPr>
          </w:p>
        </w:tc>
        <w:tc>
          <w:tcPr>
            <w:tcW w:w="1340" w:type="dxa"/>
            <w:tcBorders>
              <w:right w:val="single" w:sz="8" w:space="0" w:color="auto"/>
            </w:tcBorders>
            <w:vAlign w:val="bottom"/>
          </w:tcPr>
          <w:p w:rsidR="007445AD" w:rsidRDefault="007445AD">
            <w:pPr>
              <w:rPr>
                <w:sz w:val="16"/>
                <w:szCs w:val="16"/>
              </w:rPr>
            </w:pPr>
          </w:p>
        </w:tc>
        <w:tc>
          <w:tcPr>
            <w:tcW w:w="3040" w:type="dxa"/>
            <w:vMerge/>
            <w:tcBorders>
              <w:right w:val="single" w:sz="8" w:space="0" w:color="auto"/>
            </w:tcBorders>
            <w:vAlign w:val="bottom"/>
          </w:tcPr>
          <w:p w:rsidR="007445AD" w:rsidRDefault="007445AD">
            <w:pPr>
              <w:rPr>
                <w:sz w:val="16"/>
                <w:szCs w:val="16"/>
              </w:rPr>
            </w:pPr>
          </w:p>
        </w:tc>
        <w:tc>
          <w:tcPr>
            <w:tcW w:w="0" w:type="dxa"/>
            <w:vAlign w:val="bottom"/>
          </w:tcPr>
          <w:p w:rsidR="007445AD" w:rsidRDefault="007445AD">
            <w:pPr>
              <w:rPr>
                <w:sz w:val="1"/>
                <w:szCs w:val="1"/>
              </w:rPr>
            </w:pPr>
          </w:p>
        </w:tc>
      </w:tr>
      <w:tr w:rsidR="007445AD">
        <w:trPr>
          <w:trHeight w:val="177"/>
        </w:trPr>
        <w:tc>
          <w:tcPr>
            <w:tcW w:w="1920" w:type="dxa"/>
            <w:tcBorders>
              <w:left w:val="single" w:sz="8" w:space="0" w:color="auto"/>
              <w:right w:val="single" w:sz="8" w:space="0" w:color="auto"/>
            </w:tcBorders>
            <w:vAlign w:val="bottom"/>
          </w:tcPr>
          <w:p w:rsidR="007445AD" w:rsidRDefault="007445AD">
            <w:pPr>
              <w:rPr>
                <w:sz w:val="15"/>
                <w:szCs w:val="15"/>
              </w:rPr>
            </w:pPr>
          </w:p>
        </w:tc>
        <w:tc>
          <w:tcPr>
            <w:tcW w:w="820" w:type="dxa"/>
            <w:gridSpan w:val="2"/>
            <w:vAlign w:val="bottom"/>
          </w:tcPr>
          <w:p w:rsidR="007445AD" w:rsidRDefault="004E6F0B">
            <w:pPr>
              <w:spacing w:line="177" w:lineRule="exact"/>
              <w:ind w:left="100"/>
              <w:rPr>
                <w:sz w:val="20"/>
                <w:szCs w:val="20"/>
              </w:rPr>
            </w:pPr>
            <w:r>
              <w:rPr>
                <w:rFonts w:eastAsia="Times New Roman"/>
                <w:sz w:val="16"/>
                <w:szCs w:val="16"/>
              </w:rPr>
              <w:t>uvedením</w:t>
            </w:r>
          </w:p>
        </w:tc>
        <w:tc>
          <w:tcPr>
            <w:tcW w:w="740" w:type="dxa"/>
            <w:gridSpan w:val="2"/>
            <w:vAlign w:val="bottom"/>
          </w:tcPr>
          <w:p w:rsidR="007445AD" w:rsidRDefault="004E6F0B">
            <w:pPr>
              <w:spacing w:line="177" w:lineRule="exact"/>
              <w:jc w:val="center"/>
              <w:rPr>
                <w:sz w:val="20"/>
                <w:szCs w:val="20"/>
              </w:rPr>
            </w:pPr>
            <w:r>
              <w:rPr>
                <w:rFonts w:eastAsia="Times New Roman"/>
                <w:w w:val="96"/>
                <w:sz w:val="16"/>
                <w:szCs w:val="16"/>
              </w:rPr>
              <w:t>aspoň</w:t>
            </w:r>
          </w:p>
        </w:tc>
        <w:tc>
          <w:tcPr>
            <w:tcW w:w="660" w:type="dxa"/>
            <w:gridSpan w:val="2"/>
            <w:tcBorders>
              <w:right w:val="single" w:sz="8" w:space="0" w:color="auto"/>
            </w:tcBorders>
            <w:vAlign w:val="bottom"/>
          </w:tcPr>
          <w:p w:rsidR="007445AD" w:rsidRDefault="004E6F0B">
            <w:pPr>
              <w:spacing w:line="177" w:lineRule="exact"/>
              <w:ind w:right="40"/>
              <w:jc w:val="right"/>
              <w:rPr>
                <w:sz w:val="20"/>
                <w:szCs w:val="20"/>
              </w:rPr>
            </w:pPr>
            <w:r>
              <w:rPr>
                <w:rFonts w:eastAsia="Times New Roman"/>
                <w:sz w:val="16"/>
                <w:szCs w:val="16"/>
              </w:rPr>
              <w:t>jedného</w:t>
            </w:r>
          </w:p>
        </w:tc>
        <w:tc>
          <w:tcPr>
            <w:tcW w:w="640" w:type="dxa"/>
            <w:tcBorders>
              <w:right w:val="single" w:sz="8" w:space="0" w:color="auto"/>
            </w:tcBorders>
            <w:vAlign w:val="bottom"/>
          </w:tcPr>
          <w:p w:rsidR="007445AD" w:rsidRDefault="007445AD">
            <w:pPr>
              <w:rPr>
                <w:sz w:val="15"/>
                <w:szCs w:val="15"/>
              </w:rPr>
            </w:pPr>
          </w:p>
        </w:tc>
        <w:tc>
          <w:tcPr>
            <w:tcW w:w="1340" w:type="dxa"/>
            <w:tcBorders>
              <w:right w:val="single" w:sz="8" w:space="0" w:color="auto"/>
            </w:tcBorders>
            <w:vAlign w:val="bottom"/>
          </w:tcPr>
          <w:p w:rsidR="007445AD" w:rsidRDefault="007445AD">
            <w:pPr>
              <w:rPr>
                <w:sz w:val="15"/>
                <w:szCs w:val="15"/>
              </w:rPr>
            </w:pPr>
          </w:p>
        </w:tc>
        <w:tc>
          <w:tcPr>
            <w:tcW w:w="3040" w:type="dxa"/>
            <w:tcBorders>
              <w:right w:val="single" w:sz="8" w:space="0" w:color="auto"/>
            </w:tcBorders>
            <w:vAlign w:val="bottom"/>
          </w:tcPr>
          <w:p w:rsidR="007445AD" w:rsidRDefault="007445AD">
            <w:pPr>
              <w:rPr>
                <w:sz w:val="15"/>
                <w:szCs w:val="15"/>
              </w:rPr>
            </w:pPr>
          </w:p>
        </w:tc>
        <w:tc>
          <w:tcPr>
            <w:tcW w:w="0" w:type="dxa"/>
            <w:vAlign w:val="bottom"/>
          </w:tcPr>
          <w:p w:rsidR="007445AD" w:rsidRDefault="007445AD">
            <w:pPr>
              <w:rPr>
                <w:sz w:val="1"/>
                <w:szCs w:val="1"/>
              </w:rPr>
            </w:pPr>
          </w:p>
        </w:tc>
      </w:tr>
      <w:tr w:rsidR="007445AD">
        <w:trPr>
          <w:trHeight w:val="182"/>
        </w:trPr>
        <w:tc>
          <w:tcPr>
            <w:tcW w:w="1920" w:type="dxa"/>
            <w:tcBorders>
              <w:left w:val="single" w:sz="8" w:space="0" w:color="auto"/>
              <w:bottom w:val="single" w:sz="8" w:space="0" w:color="auto"/>
              <w:right w:val="single" w:sz="8" w:space="0" w:color="auto"/>
            </w:tcBorders>
            <w:vAlign w:val="bottom"/>
          </w:tcPr>
          <w:p w:rsidR="007445AD" w:rsidRDefault="007445AD">
            <w:pPr>
              <w:rPr>
                <w:sz w:val="15"/>
                <w:szCs w:val="15"/>
              </w:rPr>
            </w:pPr>
          </w:p>
        </w:tc>
        <w:tc>
          <w:tcPr>
            <w:tcW w:w="1560" w:type="dxa"/>
            <w:gridSpan w:val="4"/>
            <w:tcBorders>
              <w:bottom w:val="single" w:sz="8" w:space="0" w:color="auto"/>
            </w:tcBorders>
            <w:vAlign w:val="bottom"/>
          </w:tcPr>
          <w:p w:rsidR="007445AD" w:rsidRDefault="004E6F0B">
            <w:pPr>
              <w:spacing w:line="182" w:lineRule="exact"/>
              <w:ind w:left="100"/>
              <w:rPr>
                <w:sz w:val="20"/>
                <w:szCs w:val="20"/>
              </w:rPr>
            </w:pPr>
            <w:r>
              <w:rPr>
                <w:rFonts w:eastAsia="Times New Roman"/>
                <w:sz w:val="16"/>
                <w:szCs w:val="16"/>
              </w:rPr>
              <w:t>osobitného predpisu.</w:t>
            </w:r>
          </w:p>
        </w:tc>
        <w:tc>
          <w:tcPr>
            <w:tcW w:w="400" w:type="dxa"/>
            <w:tcBorders>
              <w:bottom w:val="single" w:sz="8" w:space="0" w:color="auto"/>
            </w:tcBorders>
            <w:vAlign w:val="bottom"/>
          </w:tcPr>
          <w:p w:rsidR="007445AD" w:rsidRDefault="007445AD">
            <w:pPr>
              <w:rPr>
                <w:sz w:val="15"/>
                <w:szCs w:val="15"/>
              </w:rPr>
            </w:pPr>
          </w:p>
        </w:tc>
        <w:tc>
          <w:tcPr>
            <w:tcW w:w="260" w:type="dxa"/>
            <w:tcBorders>
              <w:bottom w:val="single" w:sz="8" w:space="0" w:color="auto"/>
              <w:right w:val="single" w:sz="8" w:space="0" w:color="auto"/>
            </w:tcBorders>
            <w:vAlign w:val="bottom"/>
          </w:tcPr>
          <w:p w:rsidR="007445AD" w:rsidRDefault="007445AD">
            <w:pPr>
              <w:rPr>
                <w:sz w:val="15"/>
                <w:szCs w:val="15"/>
              </w:rPr>
            </w:pPr>
          </w:p>
        </w:tc>
        <w:tc>
          <w:tcPr>
            <w:tcW w:w="640" w:type="dxa"/>
            <w:tcBorders>
              <w:bottom w:val="single" w:sz="8" w:space="0" w:color="auto"/>
              <w:right w:val="single" w:sz="8" w:space="0" w:color="auto"/>
            </w:tcBorders>
            <w:vAlign w:val="bottom"/>
          </w:tcPr>
          <w:p w:rsidR="007445AD" w:rsidRDefault="007445AD">
            <w:pPr>
              <w:rPr>
                <w:sz w:val="15"/>
                <w:szCs w:val="15"/>
              </w:rPr>
            </w:pPr>
          </w:p>
        </w:tc>
        <w:tc>
          <w:tcPr>
            <w:tcW w:w="1340" w:type="dxa"/>
            <w:tcBorders>
              <w:bottom w:val="single" w:sz="8" w:space="0" w:color="auto"/>
              <w:right w:val="single" w:sz="8" w:space="0" w:color="auto"/>
            </w:tcBorders>
            <w:vAlign w:val="bottom"/>
          </w:tcPr>
          <w:p w:rsidR="007445AD" w:rsidRDefault="007445AD">
            <w:pPr>
              <w:rPr>
                <w:sz w:val="15"/>
                <w:szCs w:val="15"/>
              </w:rPr>
            </w:pPr>
          </w:p>
        </w:tc>
        <w:tc>
          <w:tcPr>
            <w:tcW w:w="3040" w:type="dxa"/>
            <w:tcBorders>
              <w:bottom w:val="single" w:sz="8" w:space="0" w:color="auto"/>
              <w:right w:val="single" w:sz="8" w:space="0" w:color="auto"/>
            </w:tcBorders>
            <w:vAlign w:val="bottom"/>
          </w:tcPr>
          <w:p w:rsidR="007445AD" w:rsidRDefault="007445AD">
            <w:pPr>
              <w:rPr>
                <w:sz w:val="15"/>
                <w:szCs w:val="15"/>
              </w:rPr>
            </w:pPr>
          </w:p>
        </w:tc>
        <w:tc>
          <w:tcPr>
            <w:tcW w:w="0" w:type="dxa"/>
            <w:vAlign w:val="bottom"/>
          </w:tcPr>
          <w:p w:rsidR="007445AD" w:rsidRDefault="007445AD">
            <w:pPr>
              <w:rPr>
                <w:sz w:val="1"/>
                <w:szCs w:val="1"/>
              </w:rPr>
            </w:pPr>
          </w:p>
        </w:tc>
      </w:tr>
      <w:tr w:rsidR="007445AD">
        <w:trPr>
          <w:trHeight w:val="246"/>
        </w:trPr>
        <w:tc>
          <w:tcPr>
            <w:tcW w:w="1920" w:type="dxa"/>
            <w:tcBorders>
              <w:left w:val="single" w:sz="8" w:space="0" w:color="auto"/>
              <w:right w:val="single" w:sz="8" w:space="0" w:color="auto"/>
            </w:tcBorders>
            <w:vAlign w:val="bottom"/>
          </w:tcPr>
          <w:p w:rsidR="007445AD" w:rsidRDefault="007445AD">
            <w:pPr>
              <w:rPr>
                <w:sz w:val="21"/>
                <w:szCs w:val="21"/>
              </w:rPr>
            </w:pPr>
          </w:p>
        </w:tc>
        <w:tc>
          <w:tcPr>
            <w:tcW w:w="520" w:type="dxa"/>
            <w:vAlign w:val="bottom"/>
          </w:tcPr>
          <w:p w:rsidR="007445AD" w:rsidRDefault="004E6F0B">
            <w:pPr>
              <w:ind w:left="100"/>
              <w:rPr>
                <w:sz w:val="20"/>
                <w:szCs w:val="20"/>
              </w:rPr>
            </w:pPr>
            <w:r>
              <w:rPr>
                <w:rFonts w:eastAsia="Times New Roman"/>
                <w:sz w:val="16"/>
                <w:szCs w:val="16"/>
              </w:rPr>
              <w:t>K</w:t>
            </w:r>
          </w:p>
        </w:tc>
        <w:tc>
          <w:tcPr>
            <w:tcW w:w="300" w:type="dxa"/>
            <w:vAlign w:val="bottom"/>
          </w:tcPr>
          <w:p w:rsidR="007445AD" w:rsidRDefault="004E6F0B">
            <w:pPr>
              <w:ind w:left="40"/>
              <w:rPr>
                <w:sz w:val="20"/>
                <w:szCs w:val="20"/>
              </w:rPr>
            </w:pPr>
            <w:r>
              <w:rPr>
                <w:rFonts w:eastAsia="Times New Roman"/>
                <w:sz w:val="16"/>
                <w:szCs w:val="16"/>
              </w:rPr>
              <w:t>čl.</w:t>
            </w:r>
          </w:p>
        </w:tc>
        <w:tc>
          <w:tcPr>
            <w:tcW w:w="420" w:type="dxa"/>
            <w:vAlign w:val="bottom"/>
          </w:tcPr>
          <w:p w:rsidR="007445AD" w:rsidRDefault="004E6F0B">
            <w:pPr>
              <w:ind w:left="20"/>
              <w:jc w:val="center"/>
              <w:rPr>
                <w:sz w:val="20"/>
                <w:szCs w:val="20"/>
              </w:rPr>
            </w:pPr>
            <w:r>
              <w:rPr>
                <w:rFonts w:eastAsia="Times New Roman"/>
                <w:w w:val="74"/>
                <w:sz w:val="16"/>
                <w:szCs w:val="16"/>
              </w:rPr>
              <w:t>I</w:t>
            </w:r>
          </w:p>
        </w:tc>
        <w:tc>
          <w:tcPr>
            <w:tcW w:w="720" w:type="dxa"/>
            <w:gridSpan w:val="2"/>
            <w:vAlign w:val="bottom"/>
          </w:tcPr>
          <w:p w:rsidR="007445AD" w:rsidRDefault="004E6F0B">
            <w:pPr>
              <w:ind w:left="200"/>
              <w:rPr>
                <w:sz w:val="20"/>
                <w:szCs w:val="20"/>
              </w:rPr>
            </w:pPr>
            <w:r>
              <w:rPr>
                <w:rFonts w:eastAsia="Times New Roman"/>
                <w:sz w:val="16"/>
                <w:szCs w:val="16"/>
              </w:rPr>
              <w:t>bod</w:t>
            </w:r>
          </w:p>
        </w:tc>
        <w:tc>
          <w:tcPr>
            <w:tcW w:w="260" w:type="dxa"/>
            <w:tcBorders>
              <w:right w:val="single" w:sz="8" w:space="0" w:color="auto"/>
            </w:tcBorders>
            <w:vAlign w:val="bottom"/>
          </w:tcPr>
          <w:p w:rsidR="007445AD" w:rsidRDefault="004E6F0B">
            <w:pPr>
              <w:ind w:right="40"/>
              <w:jc w:val="right"/>
              <w:rPr>
                <w:sz w:val="20"/>
                <w:szCs w:val="20"/>
              </w:rPr>
            </w:pPr>
            <w:r>
              <w:rPr>
                <w:rFonts w:eastAsia="Times New Roman"/>
                <w:sz w:val="16"/>
                <w:szCs w:val="16"/>
              </w:rPr>
              <w:t>3</w:t>
            </w:r>
          </w:p>
        </w:tc>
        <w:tc>
          <w:tcPr>
            <w:tcW w:w="640" w:type="dxa"/>
            <w:tcBorders>
              <w:right w:val="single" w:sz="8" w:space="0" w:color="auto"/>
            </w:tcBorders>
            <w:vAlign w:val="bottom"/>
          </w:tcPr>
          <w:p w:rsidR="007445AD" w:rsidRDefault="007445AD">
            <w:pPr>
              <w:rPr>
                <w:sz w:val="21"/>
                <w:szCs w:val="21"/>
              </w:rPr>
            </w:pPr>
          </w:p>
        </w:tc>
        <w:tc>
          <w:tcPr>
            <w:tcW w:w="1340" w:type="dxa"/>
            <w:tcBorders>
              <w:right w:val="single" w:sz="8" w:space="0" w:color="auto"/>
            </w:tcBorders>
            <w:vAlign w:val="bottom"/>
          </w:tcPr>
          <w:p w:rsidR="007445AD" w:rsidRDefault="007445AD">
            <w:pPr>
              <w:rPr>
                <w:sz w:val="21"/>
                <w:szCs w:val="21"/>
              </w:rPr>
            </w:pPr>
          </w:p>
        </w:tc>
        <w:tc>
          <w:tcPr>
            <w:tcW w:w="3040" w:type="dxa"/>
            <w:tcBorders>
              <w:right w:val="single" w:sz="8" w:space="0" w:color="auto"/>
            </w:tcBorders>
            <w:vAlign w:val="bottom"/>
          </w:tcPr>
          <w:p w:rsidR="007445AD" w:rsidRDefault="004E6F0B">
            <w:pPr>
              <w:spacing w:line="246" w:lineRule="exact"/>
              <w:ind w:left="100"/>
              <w:rPr>
                <w:sz w:val="20"/>
                <w:szCs w:val="20"/>
              </w:rPr>
            </w:pPr>
            <w:r>
              <w:rPr>
                <w:rFonts w:ascii="Arial" w:eastAsia="Arial" w:hAnsi="Arial" w:cs="Arial"/>
                <w:sz w:val="25"/>
                <w:szCs w:val="25"/>
              </w:rPr>
              <w:t>Ustanovenie bolo</w:t>
            </w:r>
          </w:p>
        </w:tc>
        <w:tc>
          <w:tcPr>
            <w:tcW w:w="0" w:type="dxa"/>
            <w:vAlign w:val="bottom"/>
          </w:tcPr>
          <w:p w:rsidR="007445AD" w:rsidRDefault="007445AD">
            <w:pPr>
              <w:rPr>
                <w:sz w:val="1"/>
                <w:szCs w:val="1"/>
              </w:rPr>
            </w:pPr>
          </w:p>
        </w:tc>
      </w:tr>
      <w:tr w:rsidR="007445AD">
        <w:trPr>
          <w:trHeight w:val="177"/>
        </w:trPr>
        <w:tc>
          <w:tcPr>
            <w:tcW w:w="1920" w:type="dxa"/>
            <w:vMerge w:val="restart"/>
            <w:tcBorders>
              <w:left w:val="single" w:sz="8" w:space="0" w:color="auto"/>
              <w:right w:val="single" w:sz="8" w:space="0" w:color="auto"/>
            </w:tcBorders>
            <w:vAlign w:val="bottom"/>
          </w:tcPr>
          <w:p w:rsidR="007445AD" w:rsidRDefault="004E6F0B">
            <w:pPr>
              <w:ind w:left="120"/>
              <w:rPr>
                <w:sz w:val="20"/>
                <w:szCs w:val="20"/>
              </w:rPr>
            </w:pPr>
            <w:r>
              <w:rPr>
                <w:rFonts w:ascii="Arial" w:eastAsia="Arial" w:hAnsi="Arial" w:cs="Arial"/>
                <w:b/>
                <w:bCs/>
                <w:sz w:val="25"/>
                <w:szCs w:val="25"/>
              </w:rPr>
              <w:t>MPSVRSR</w:t>
            </w:r>
          </w:p>
        </w:tc>
        <w:tc>
          <w:tcPr>
            <w:tcW w:w="2220" w:type="dxa"/>
            <w:gridSpan w:val="6"/>
            <w:tcBorders>
              <w:right w:val="single" w:sz="8" w:space="0" w:color="auto"/>
            </w:tcBorders>
            <w:vAlign w:val="bottom"/>
          </w:tcPr>
          <w:p w:rsidR="007445AD" w:rsidRDefault="004E6F0B">
            <w:pPr>
              <w:spacing w:line="177" w:lineRule="exact"/>
              <w:ind w:left="100"/>
              <w:rPr>
                <w:sz w:val="20"/>
                <w:szCs w:val="20"/>
              </w:rPr>
            </w:pPr>
            <w:r>
              <w:rPr>
                <w:rFonts w:eastAsia="Times New Roman"/>
                <w:sz w:val="16"/>
                <w:szCs w:val="16"/>
              </w:rPr>
              <w:t>Odporúčam  v  čl.  I  bode  3</w:t>
            </w:r>
          </w:p>
        </w:tc>
        <w:tc>
          <w:tcPr>
            <w:tcW w:w="640" w:type="dxa"/>
            <w:vMerge w:val="restart"/>
            <w:tcBorders>
              <w:right w:val="single" w:sz="8" w:space="0" w:color="auto"/>
            </w:tcBorders>
            <w:vAlign w:val="bottom"/>
          </w:tcPr>
          <w:p w:rsidR="007445AD" w:rsidRDefault="004E6F0B">
            <w:pPr>
              <w:ind w:left="100"/>
              <w:rPr>
                <w:sz w:val="20"/>
                <w:szCs w:val="20"/>
              </w:rPr>
            </w:pPr>
            <w:r>
              <w:rPr>
                <w:rFonts w:ascii="Arial" w:eastAsia="Arial" w:hAnsi="Arial" w:cs="Arial"/>
                <w:sz w:val="25"/>
                <w:szCs w:val="25"/>
              </w:rPr>
              <w:t>O</w:t>
            </w:r>
          </w:p>
        </w:tc>
        <w:tc>
          <w:tcPr>
            <w:tcW w:w="1340" w:type="dxa"/>
            <w:vMerge w:val="restart"/>
            <w:tcBorders>
              <w:right w:val="single" w:sz="8" w:space="0" w:color="auto"/>
            </w:tcBorders>
            <w:vAlign w:val="bottom"/>
          </w:tcPr>
          <w:p w:rsidR="007445AD" w:rsidRDefault="004E6F0B">
            <w:pPr>
              <w:ind w:left="100"/>
              <w:rPr>
                <w:sz w:val="20"/>
                <w:szCs w:val="20"/>
              </w:rPr>
            </w:pPr>
            <w:r>
              <w:rPr>
                <w:rFonts w:ascii="Arial" w:eastAsia="Arial" w:hAnsi="Arial" w:cs="Arial"/>
                <w:sz w:val="25"/>
                <w:szCs w:val="25"/>
              </w:rPr>
              <w:t>A</w:t>
            </w:r>
          </w:p>
        </w:tc>
        <w:tc>
          <w:tcPr>
            <w:tcW w:w="3040" w:type="dxa"/>
            <w:vMerge w:val="restart"/>
            <w:tcBorders>
              <w:right w:val="single" w:sz="8" w:space="0" w:color="auto"/>
            </w:tcBorders>
            <w:vAlign w:val="bottom"/>
          </w:tcPr>
          <w:p w:rsidR="007445AD" w:rsidRDefault="004E6F0B">
            <w:pPr>
              <w:ind w:left="100"/>
              <w:rPr>
                <w:sz w:val="20"/>
                <w:szCs w:val="20"/>
              </w:rPr>
            </w:pPr>
            <w:r>
              <w:rPr>
                <w:rFonts w:ascii="Arial" w:eastAsia="Arial" w:hAnsi="Arial" w:cs="Arial"/>
                <w:sz w:val="25"/>
                <w:szCs w:val="25"/>
              </w:rPr>
              <w:t>prepracované; odkaz bol</w:t>
            </w:r>
          </w:p>
        </w:tc>
        <w:tc>
          <w:tcPr>
            <w:tcW w:w="0" w:type="dxa"/>
            <w:vAlign w:val="bottom"/>
          </w:tcPr>
          <w:p w:rsidR="007445AD" w:rsidRDefault="007445AD">
            <w:pPr>
              <w:rPr>
                <w:sz w:val="1"/>
                <w:szCs w:val="1"/>
              </w:rPr>
            </w:pPr>
          </w:p>
        </w:tc>
      </w:tr>
      <w:tr w:rsidR="007445AD">
        <w:trPr>
          <w:trHeight w:val="140"/>
        </w:trPr>
        <w:tc>
          <w:tcPr>
            <w:tcW w:w="1920" w:type="dxa"/>
            <w:vMerge/>
            <w:tcBorders>
              <w:left w:val="single" w:sz="8" w:space="0" w:color="auto"/>
              <w:right w:val="single" w:sz="8" w:space="0" w:color="auto"/>
            </w:tcBorders>
            <w:vAlign w:val="bottom"/>
          </w:tcPr>
          <w:p w:rsidR="007445AD" w:rsidRDefault="007445AD">
            <w:pPr>
              <w:rPr>
                <w:sz w:val="12"/>
                <w:szCs w:val="12"/>
              </w:rPr>
            </w:pPr>
          </w:p>
        </w:tc>
        <w:tc>
          <w:tcPr>
            <w:tcW w:w="1240" w:type="dxa"/>
            <w:gridSpan w:val="3"/>
            <w:vMerge w:val="restart"/>
            <w:vAlign w:val="bottom"/>
          </w:tcPr>
          <w:p w:rsidR="007445AD" w:rsidRDefault="004E6F0B">
            <w:pPr>
              <w:ind w:left="100"/>
              <w:rPr>
                <w:sz w:val="20"/>
                <w:szCs w:val="20"/>
              </w:rPr>
            </w:pPr>
            <w:r>
              <w:rPr>
                <w:rFonts w:eastAsia="Times New Roman"/>
                <w:sz w:val="16"/>
                <w:szCs w:val="16"/>
              </w:rPr>
              <w:t>navrhovanom  §</w:t>
            </w:r>
          </w:p>
        </w:tc>
        <w:tc>
          <w:tcPr>
            <w:tcW w:w="320" w:type="dxa"/>
            <w:vMerge w:val="restart"/>
            <w:vAlign w:val="bottom"/>
          </w:tcPr>
          <w:p w:rsidR="007445AD" w:rsidRDefault="004E6F0B">
            <w:pPr>
              <w:ind w:left="40"/>
              <w:rPr>
                <w:sz w:val="20"/>
                <w:szCs w:val="20"/>
              </w:rPr>
            </w:pPr>
            <w:r>
              <w:rPr>
                <w:rFonts w:eastAsia="Times New Roman"/>
                <w:sz w:val="16"/>
                <w:szCs w:val="16"/>
              </w:rPr>
              <w:t>61k</w:t>
            </w:r>
          </w:p>
        </w:tc>
        <w:tc>
          <w:tcPr>
            <w:tcW w:w="660" w:type="dxa"/>
            <w:gridSpan w:val="2"/>
            <w:vMerge w:val="restart"/>
            <w:tcBorders>
              <w:right w:val="single" w:sz="8" w:space="0" w:color="auto"/>
            </w:tcBorders>
            <w:vAlign w:val="bottom"/>
          </w:tcPr>
          <w:p w:rsidR="007445AD" w:rsidRDefault="004E6F0B">
            <w:pPr>
              <w:ind w:right="40"/>
              <w:jc w:val="right"/>
              <w:rPr>
                <w:sz w:val="20"/>
                <w:szCs w:val="20"/>
              </w:rPr>
            </w:pPr>
            <w:r>
              <w:rPr>
                <w:rFonts w:eastAsia="Times New Roman"/>
                <w:sz w:val="16"/>
                <w:szCs w:val="16"/>
              </w:rPr>
              <w:t>doplniť</w:t>
            </w:r>
          </w:p>
        </w:tc>
        <w:tc>
          <w:tcPr>
            <w:tcW w:w="640" w:type="dxa"/>
            <w:vMerge/>
            <w:tcBorders>
              <w:right w:val="single" w:sz="8" w:space="0" w:color="auto"/>
            </w:tcBorders>
            <w:vAlign w:val="bottom"/>
          </w:tcPr>
          <w:p w:rsidR="007445AD" w:rsidRDefault="007445AD">
            <w:pPr>
              <w:rPr>
                <w:sz w:val="12"/>
                <w:szCs w:val="12"/>
              </w:rPr>
            </w:pPr>
          </w:p>
        </w:tc>
        <w:tc>
          <w:tcPr>
            <w:tcW w:w="1340" w:type="dxa"/>
            <w:vMerge/>
            <w:tcBorders>
              <w:right w:val="single" w:sz="8" w:space="0" w:color="auto"/>
            </w:tcBorders>
            <w:vAlign w:val="bottom"/>
          </w:tcPr>
          <w:p w:rsidR="007445AD" w:rsidRDefault="007445AD">
            <w:pPr>
              <w:rPr>
                <w:sz w:val="12"/>
                <w:szCs w:val="12"/>
              </w:rPr>
            </w:pPr>
          </w:p>
        </w:tc>
        <w:tc>
          <w:tcPr>
            <w:tcW w:w="3040" w:type="dxa"/>
            <w:vMerge/>
            <w:tcBorders>
              <w:right w:val="single" w:sz="8" w:space="0" w:color="auto"/>
            </w:tcBorders>
            <w:vAlign w:val="bottom"/>
          </w:tcPr>
          <w:p w:rsidR="007445AD" w:rsidRDefault="007445AD">
            <w:pPr>
              <w:rPr>
                <w:sz w:val="12"/>
                <w:szCs w:val="12"/>
              </w:rPr>
            </w:pPr>
          </w:p>
        </w:tc>
        <w:tc>
          <w:tcPr>
            <w:tcW w:w="0" w:type="dxa"/>
            <w:vAlign w:val="bottom"/>
          </w:tcPr>
          <w:p w:rsidR="007445AD" w:rsidRDefault="007445AD">
            <w:pPr>
              <w:rPr>
                <w:sz w:val="1"/>
                <w:szCs w:val="1"/>
              </w:rPr>
            </w:pPr>
          </w:p>
        </w:tc>
      </w:tr>
      <w:tr w:rsidR="007445AD">
        <w:trPr>
          <w:trHeight w:val="44"/>
        </w:trPr>
        <w:tc>
          <w:tcPr>
            <w:tcW w:w="1920" w:type="dxa"/>
            <w:tcBorders>
              <w:left w:val="single" w:sz="8" w:space="0" w:color="auto"/>
              <w:right w:val="single" w:sz="8" w:space="0" w:color="auto"/>
            </w:tcBorders>
            <w:vAlign w:val="bottom"/>
          </w:tcPr>
          <w:p w:rsidR="007445AD" w:rsidRDefault="007445AD">
            <w:pPr>
              <w:rPr>
                <w:sz w:val="3"/>
                <w:szCs w:val="3"/>
              </w:rPr>
            </w:pPr>
          </w:p>
        </w:tc>
        <w:tc>
          <w:tcPr>
            <w:tcW w:w="1240" w:type="dxa"/>
            <w:gridSpan w:val="3"/>
            <w:vMerge/>
            <w:vAlign w:val="bottom"/>
          </w:tcPr>
          <w:p w:rsidR="007445AD" w:rsidRDefault="007445AD">
            <w:pPr>
              <w:rPr>
                <w:sz w:val="3"/>
                <w:szCs w:val="3"/>
              </w:rPr>
            </w:pPr>
          </w:p>
        </w:tc>
        <w:tc>
          <w:tcPr>
            <w:tcW w:w="320" w:type="dxa"/>
            <w:vMerge/>
            <w:vAlign w:val="bottom"/>
          </w:tcPr>
          <w:p w:rsidR="007445AD" w:rsidRDefault="007445AD">
            <w:pPr>
              <w:rPr>
                <w:sz w:val="3"/>
                <w:szCs w:val="3"/>
              </w:rPr>
            </w:pPr>
          </w:p>
        </w:tc>
        <w:tc>
          <w:tcPr>
            <w:tcW w:w="660" w:type="dxa"/>
            <w:gridSpan w:val="2"/>
            <w:vMerge/>
            <w:tcBorders>
              <w:right w:val="single" w:sz="8" w:space="0" w:color="auto"/>
            </w:tcBorders>
            <w:vAlign w:val="bottom"/>
          </w:tcPr>
          <w:p w:rsidR="007445AD" w:rsidRDefault="007445AD">
            <w:pPr>
              <w:rPr>
                <w:sz w:val="3"/>
                <w:szCs w:val="3"/>
              </w:rPr>
            </w:pPr>
          </w:p>
        </w:tc>
        <w:tc>
          <w:tcPr>
            <w:tcW w:w="640" w:type="dxa"/>
            <w:tcBorders>
              <w:right w:val="single" w:sz="8" w:space="0" w:color="auto"/>
            </w:tcBorders>
            <w:vAlign w:val="bottom"/>
          </w:tcPr>
          <w:p w:rsidR="007445AD" w:rsidRDefault="007445AD">
            <w:pPr>
              <w:rPr>
                <w:sz w:val="3"/>
                <w:szCs w:val="3"/>
              </w:rPr>
            </w:pPr>
          </w:p>
        </w:tc>
        <w:tc>
          <w:tcPr>
            <w:tcW w:w="1340" w:type="dxa"/>
            <w:tcBorders>
              <w:right w:val="single" w:sz="8" w:space="0" w:color="auto"/>
            </w:tcBorders>
            <w:vAlign w:val="bottom"/>
          </w:tcPr>
          <w:p w:rsidR="007445AD" w:rsidRDefault="007445AD">
            <w:pPr>
              <w:rPr>
                <w:sz w:val="3"/>
                <w:szCs w:val="3"/>
              </w:rPr>
            </w:pPr>
          </w:p>
        </w:tc>
        <w:tc>
          <w:tcPr>
            <w:tcW w:w="3040" w:type="dxa"/>
            <w:vMerge w:val="restart"/>
            <w:tcBorders>
              <w:right w:val="single" w:sz="8" w:space="0" w:color="auto"/>
            </w:tcBorders>
            <w:vAlign w:val="bottom"/>
          </w:tcPr>
          <w:p w:rsidR="007445AD" w:rsidRDefault="004E6F0B">
            <w:pPr>
              <w:ind w:left="100"/>
              <w:rPr>
                <w:sz w:val="20"/>
                <w:szCs w:val="20"/>
              </w:rPr>
            </w:pPr>
            <w:r>
              <w:rPr>
                <w:rFonts w:ascii="Arial" w:eastAsia="Arial" w:hAnsi="Arial" w:cs="Arial"/>
                <w:sz w:val="25"/>
                <w:szCs w:val="25"/>
              </w:rPr>
              <w:t>doplnený.</w:t>
            </w:r>
          </w:p>
        </w:tc>
        <w:tc>
          <w:tcPr>
            <w:tcW w:w="0" w:type="dxa"/>
            <w:vAlign w:val="bottom"/>
          </w:tcPr>
          <w:p w:rsidR="007445AD" w:rsidRDefault="007445AD">
            <w:pPr>
              <w:rPr>
                <w:sz w:val="1"/>
                <w:szCs w:val="1"/>
              </w:rPr>
            </w:pPr>
          </w:p>
        </w:tc>
      </w:tr>
      <w:tr w:rsidR="007445AD">
        <w:trPr>
          <w:trHeight w:val="246"/>
        </w:trPr>
        <w:tc>
          <w:tcPr>
            <w:tcW w:w="1920" w:type="dxa"/>
            <w:tcBorders>
              <w:left w:val="single" w:sz="8" w:space="0" w:color="auto"/>
              <w:bottom w:val="single" w:sz="8" w:space="0" w:color="auto"/>
              <w:right w:val="single" w:sz="8" w:space="0" w:color="auto"/>
            </w:tcBorders>
            <w:vAlign w:val="bottom"/>
          </w:tcPr>
          <w:p w:rsidR="007445AD" w:rsidRDefault="007445AD">
            <w:pPr>
              <w:rPr>
                <w:sz w:val="21"/>
                <w:szCs w:val="21"/>
              </w:rPr>
            </w:pPr>
          </w:p>
        </w:tc>
        <w:tc>
          <w:tcPr>
            <w:tcW w:w="520" w:type="dxa"/>
            <w:tcBorders>
              <w:bottom w:val="single" w:sz="8" w:space="0" w:color="auto"/>
            </w:tcBorders>
            <w:vAlign w:val="bottom"/>
          </w:tcPr>
          <w:p w:rsidR="007445AD" w:rsidRDefault="004E6F0B">
            <w:pPr>
              <w:spacing w:line="182" w:lineRule="exact"/>
              <w:ind w:left="100"/>
              <w:rPr>
                <w:sz w:val="20"/>
                <w:szCs w:val="20"/>
              </w:rPr>
            </w:pPr>
            <w:r>
              <w:rPr>
                <w:rFonts w:eastAsia="Times New Roman"/>
                <w:sz w:val="16"/>
                <w:szCs w:val="16"/>
              </w:rPr>
              <w:t>odkaz</w:t>
            </w:r>
          </w:p>
        </w:tc>
        <w:tc>
          <w:tcPr>
            <w:tcW w:w="300" w:type="dxa"/>
            <w:tcBorders>
              <w:bottom w:val="single" w:sz="8" w:space="0" w:color="auto"/>
            </w:tcBorders>
            <w:vAlign w:val="bottom"/>
          </w:tcPr>
          <w:p w:rsidR="007445AD" w:rsidRDefault="004E6F0B">
            <w:pPr>
              <w:spacing w:line="182" w:lineRule="exact"/>
              <w:ind w:left="100"/>
              <w:rPr>
                <w:sz w:val="20"/>
                <w:szCs w:val="20"/>
              </w:rPr>
            </w:pPr>
            <w:r>
              <w:rPr>
                <w:rFonts w:eastAsia="Times New Roman"/>
                <w:sz w:val="16"/>
                <w:szCs w:val="16"/>
              </w:rPr>
              <w:t>na</w:t>
            </w:r>
          </w:p>
        </w:tc>
        <w:tc>
          <w:tcPr>
            <w:tcW w:w="740" w:type="dxa"/>
            <w:gridSpan w:val="2"/>
            <w:tcBorders>
              <w:bottom w:val="single" w:sz="8" w:space="0" w:color="auto"/>
            </w:tcBorders>
            <w:vAlign w:val="bottom"/>
          </w:tcPr>
          <w:p w:rsidR="007445AD" w:rsidRDefault="004E6F0B">
            <w:pPr>
              <w:spacing w:line="182" w:lineRule="exact"/>
              <w:jc w:val="center"/>
              <w:rPr>
                <w:sz w:val="20"/>
                <w:szCs w:val="20"/>
              </w:rPr>
            </w:pPr>
            <w:r>
              <w:rPr>
                <w:rFonts w:eastAsia="Times New Roman"/>
                <w:sz w:val="16"/>
                <w:szCs w:val="16"/>
              </w:rPr>
              <w:t>osobitný</w:t>
            </w:r>
          </w:p>
        </w:tc>
        <w:tc>
          <w:tcPr>
            <w:tcW w:w="660" w:type="dxa"/>
            <w:gridSpan w:val="2"/>
            <w:tcBorders>
              <w:bottom w:val="single" w:sz="8" w:space="0" w:color="auto"/>
              <w:right w:val="single" w:sz="8" w:space="0" w:color="auto"/>
            </w:tcBorders>
            <w:vAlign w:val="bottom"/>
          </w:tcPr>
          <w:p w:rsidR="007445AD" w:rsidRDefault="004E6F0B">
            <w:pPr>
              <w:spacing w:line="182" w:lineRule="exact"/>
              <w:ind w:right="40"/>
              <w:jc w:val="right"/>
              <w:rPr>
                <w:sz w:val="20"/>
                <w:szCs w:val="20"/>
              </w:rPr>
            </w:pPr>
            <w:r>
              <w:rPr>
                <w:rFonts w:eastAsia="Times New Roman"/>
                <w:sz w:val="16"/>
                <w:szCs w:val="16"/>
              </w:rPr>
              <w:t>predpis.</w:t>
            </w:r>
          </w:p>
        </w:tc>
        <w:tc>
          <w:tcPr>
            <w:tcW w:w="640" w:type="dxa"/>
            <w:tcBorders>
              <w:bottom w:val="single" w:sz="8" w:space="0" w:color="auto"/>
              <w:right w:val="single" w:sz="8" w:space="0" w:color="auto"/>
            </w:tcBorders>
            <w:vAlign w:val="bottom"/>
          </w:tcPr>
          <w:p w:rsidR="007445AD" w:rsidRDefault="007445AD">
            <w:pPr>
              <w:rPr>
                <w:sz w:val="21"/>
                <w:szCs w:val="21"/>
              </w:rPr>
            </w:pPr>
          </w:p>
        </w:tc>
        <w:tc>
          <w:tcPr>
            <w:tcW w:w="1340" w:type="dxa"/>
            <w:tcBorders>
              <w:bottom w:val="single" w:sz="8" w:space="0" w:color="auto"/>
              <w:right w:val="single" w:sz="8" w:space="0" w:color="auto"/>
            </w:tcBorders>
            <w:vAlign w:val="bottom"/>
          </w:tcPr>
          <w:p w:rsidR="007445AD" w:rsidRDefault="007445AD">
            <w:pPr>
              <w:rPr>
                <w:sz w:val="21"/>
                <w:szCs w:val="21"/>
              </w:rPr>
            </w:pPr>
          </w:p>
        </w:tc>
        <w:tc>
          <w:tcPr>
            <w:tcW w:w="3040" w:type="dxa"/>
            <w:vMerge/>
            <w:tcBorders>
              <w:bottom w:val="single" w:sz="8" w:space="0" w:color="auto"/>
              <w:right w:val="single" w:sz="8" w:space="0" w:color="auto"/>
            </w:tcBorders>
            <w:vAlign w:val="bottom"/>
          </w:tcPr>
          <w:p w:rsidR="007445AD" w:rsidRDefault="007445AD">
            <w:pPr>
              <w:rPr>
                <w:sz w:val="21"/>
                <w:szCs w:val="21"/>
              </w:rPr>
            </w:pPr>
          </w:p>
        </w:tc>
        <w:tc>
          <w:tcPr>
            <w:tcW w:w="0" w:type="dxa"/>
            <w:vAlign w:val="bottom"/>
          </w:tcPr>
          <w:p w:rsidR="007445AD" w:rsidRDefault="007445AD">
            <w:pPr>
              <w:rPr>
                <w:sz w:val="1"/>
                <w:szCs w:val="1"/>
              </w:rPr>
            </w:pPr>
          </w:p>
        </w:tc>
      </w:tr>
    </w:tbl>
    <w:p w:rsidR="007445AD" w:rsidRDefault="004E6F0B">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5799455</wp:posOffset>
                </wp:positionH>
                <wp:positionV relativeFrom="paragraph">
                  <wp:posOffset>-8890</wp:posOffset>
                </wp:positionV>
                <wp:extent cx="12065" cy="1206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3054B733" id="Shape 4" o:spid="_x0000_s1026" style="position:absolute;margin-left:456.65pt;margin-top:-.7pt;width:.95pt;height:.9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" o:allowincell="f" fillcolor="black" stroked="f">
                <v:path arrowok="t"/>
              </v:rect>
            </w:pict>
          </mc:Fallback>
        </mc:AlternateContent>
      </w:r>
    </w:p>
    <w:p w:rsidR="007445AD" w:rsidRDefault="007445AD">
      <w:pPr>
        <w:sectPr w:rsidR="007445AD">
          <w:pgSz w:w="11900" w:h="16838"/>
          <w:pgMar w:top="1425" w:right="1346" w:bottom="1024" w:left="1416" w:header="0" w:footer="0" w:gutter="0"/>
          <w:cols w:space="708" w:equalWidth="0">
            <w:col w:w="9144"/>
          </w:cols>
        </w:sectPr>
      </w:pPr>
    </w:p>
    <w:tbl>
      <w:tblPr>
        <w:tblW w:w="0" w:type="auto"/>
        <w:tblInd w:w="14" w:type="dxa"/>
        <w:tblLayout w:type="fixed"/>
        <w:tblCellMar>
          <w:left w:w="0" w:type="dxa"/>
          <w:right w:w="0" w:type="dxa"/>
        </w:tblCellMar>
        <w:tblLook w:val="04A0" w:firstRow="1" w:lastRow="0" w:firstColumn="1" w:lastColumn="0" w:noHBand="0" w:noVBand="1"/>
      </w:tblPr>
      <w:tblGrid>
        <w:gridCol w:w="1920"/>
        <w:gridCol w:w="660"/>
        <w:gridCol w:w="560"/>
        <w:gridCol w:w="420"/>
        <w:gridCol w:w="580"/>
        <w:gridCol w:w="640"/>
        <w:gridCol w:w="1340"/>
        <w:gridCol w:w="3040"/>
        <w:gridCol w:w="30"/>
      </w:tblGrid>
      <w:tr w:rsidR="007445AD">
        <w:trPr>
          <w:trHeight w:val="195"/>
        </w:trPr>
        <w:tc>
          <w:tcPr>
            <w:tcW w:w="1920" w:type="dxa"/>
            <w:tcBorders>
              <w:top w:val="single" w:sz="8" w:space="0" w:color="auto"/>
              <w:left w:val="single" w:sz="8" w:space="0" w:color="auto"/>
              <w:right w:val="single" w:sz="8" w:space="0" w:color="auto"/>
            </w:tcBorders>
            <w:vAlign w:val="bottom"/>
          </w:tcPr>
          <w:p w:rsidR="007445AD" w:rsidRDefault="007445AD">
            <w:pPr>
              <w:rPr>
                <w:sz w:val="16"/>
                <w:szCs w:val="16"/>
              </w:rPr>
            </w:pPr>
            <w:bookmarkStart w:id="9" w:name="page9"/>
            <w:bookmarkEnd w:id="9"/>
          </w:p>
        </w:tc>
        <w:tc>
          <w:tcPr>
            <w:tcW w:w="1220" w:type="dxa"/>
            <w:gridSpan w:val="2"/>
            <w:tcBorders>
              <w:top w:val="single" w:sz="8" w:space="0" w:color="auto"/>
            </w:tcBorders>
            <w:vAlign w:val="bottom"/>
          </w:tcPr>
          <w:p w:rsidR="007445AD" w:rsidRDefault="004E6F0B">
            <w:pPr>
              <w:ind w:left="100"/>
              <w:rPr>
                <w:sz w:val="20"/>
                <w:szCs w:val="20"/>
              </w:rPr>
            </w:pPr>
            <w:r>
              <w:rPr>
                <w:rFonts w:eastAsia="Times New Roman"/>
                <w:sz w:val="16"/>
                <w:szCs w:val="16"/>
              </w:rPr>
              <w:t>Odôvodnenie:</w:t>
            </w:r>
          </w:p>
        </w:tc>
        <w:tc>
          <w:tcPr>
            <w:tcW w:w="1000" w:type="dxa"/>
            <w:gridSpan w:val="2"/>
            <w:tcBorders>
              <w:top w:val="single" w:sz="8" w:space="0" w:color="auto"/>
              <w:right w:val="single" w:sz="8" w:space="0" w:color="auto"/>
            </w:tcBorders>
            <w:vAlign w:val="bottom"/>
          </w:tcPr>
          <w:p w:rsidR="007445AD" w:rsidRDefault="004E6F0B">
            <w:pPr>
              <w:ind w:right="40"/>
              <w:jc w:val="right"/>
              <w:rPr>
                <w:sz w:val="20"/>
                <w:szCs w:val="20"/>
              </w:rPr>
            </w:pPr>
            <w:r>
              <w:rPr>
                <w:rFonts w:eastAsia="Times New Roman"/>
                <w:sz w:val="16"/>
                <w:szCs w:val="16"/>
              </w:rPr>
              <w:t>Legislatívno-</w:t>
            </w:r>
          </w:p>
        </w:tc>
        <w:tc>
          <w:tcPr>
            <w:tcW w:w="640" w:type="dxa"/>
            <w:tcBorders>
              <w:top w:val="single" w:sz="8" w:space="0" w:color="auto"/>
              <w:right w:val="single" w:sz="8" w:space="0" w:color="auto"/>
            </w:tcBorders>
            <w:vAlign w:val="bottom"/>
          </w:tcPr>
          <w:p w:rsidR="007445AD" w:rsidRDefault="007445AD">
            <w:pPr>
              <w:rPr>
                <w:sz w:val="16"/>
                <w:szCs w:val="16"/>
              </w:rPr>
            </w:pPr>
          </w:p>
        </w:tc>
        <w:tc>
          <w:tcPr>
            <w:tcW w:w="1340" w:type="dxa"/>
            <w:tcBorders>
              <w:top w:val="single" w:sz="8" w:space="0" w:color="auto"/>
              <w:right w:val="single" w:sz="8" w:space="0" w:color="auto"/>
            </w:tcBorders>
            <w:vAlign w:val="bottom"/>
          </w:tcPr>
          <w:p w:rsidR="007445AD" w:rsidRDefault="007445AD">
            <w:pPr>
              <w:rPr>
                <w:sz w:val="16"/>
                <w:szCs w:val="16"/>
              </w:rPr>
            </w:pPr>
          </w:p>
        </w:tc>
        <w:tc>
          <w:tcPr>
            <w:tcW w:w="3040" w:type="dxa"/>
            <w:tcBorders>
              <w:top w:val="single" w:sz="8" w:space="0" w:color="auto"/>
              <w:right w:val="single" w:sz="8" w:space="0" w:color="auto"/>
            </w:tcBorders>
            <w:vAlign w:val="bottom"/>
          </w:tcPr>
          <w:p w:rsidR="007445AD" w:rsidRDefault="007445AD">
            <w:pPr>
              <w:rPr>
                <w:sz w:val="16"/>
                <w:szCs w:val="16"/>
              </w:rPr>
            </w:pPr>
          </w:p>
        </w:tc>
        <w:tc>
          <w:tcPr>
            <w:tcW w:w="0" w:type="dxa"/>
            <w:vAlign w:val="bottom"/>
          </w:tcPr>
          <w:p w:rsidR="007445AD" w:rsidRDefault="007445AD">
            <w:pPr>
              <w:rPr>
                <w:sz w:val="1"/>
                <w:szCs w:val="1"/>
              </w:rPr>
            </w:pPr>
          </w:p>
        </w:tc>
      </w:tr>
      <w:tr w:rsidR="007445AD">
        <w:trPr>
          <w:trHeight w:val="185"/>
        </w:trPr>
        <w:tc>
          <w:tcPr>
            <w:tcW w:w="1920" w:type="dxa"/>
            <w:tcBorders>
              <w:left w:val="single" w:sz="8" w:space="0" w:color="auto"/>
              <w:bottom w:val="single" w:sz="8" w:space="0" w:color="auto"/>
              <w:right w:val="single" w:sz="8" w:space="0" w:color="auto"/>
            </w:tcBorders>
            <w:vAlign w:val="bottom"/>
          </w:tcPr>
          <w:p w:rsidR="007445AD" w:rsidRDefault="007445AD">
            <w:pPr>
              <w:rPr>
                <w:sz w:val="16"/>
                <w:szCs w:val="16"/>
              </w:rPr>
            </w:pPr>
          </w:p>
        </w:tc>
        <w:tc>
          <w:tcPr>
            <w:tcW w:w="1640" w:type="dxa"/>
            <w:gridSpan w:val="3"/>
            <w:tcBorders>
              <w:bottom w:val="single" w:sz="8" w:space="0" w:color="auto"/>
            </w:tcBorders>
            <w:vAlign w:val="bottom"/>
          </w:tcPr>
          <w:p w:rsidR="007445AD" w:rsidRDefault="004E6F0B">
            <w:pPr>
              <w:ind w:left="100"/>
              <w:rPr>
                <w:sz w:val="20"/>
                <w:szCs w:val="20"/>
              </w:rPr>
            </w:pPr>
            <w:r>
              <w:rPr>
                <w:rFonts w:eastAsia="Times New Roman"/>
                <w:sz w:val="16"/>
                <w:szCs w:val="16"/>
              </w:rPr>
              <w:t>technická pripomienka.</w:t>
            </w:r>
          </w:p>
        </w:tc>
        <w:tc>
          <w:tcPr>
            <w:tcW w:w="580" w:type="dxa"/>
            <w:tcBorders>
              <w:bottom w:val="single" w:sz="8" w:space="0" w:color="auto"/>
              <w:right w:val="single" w:sz="8" w:space="0" w:color="auto"/>
            </w:tcBorders>
            <w:vAlign w:val="bottom"/>
          </w:tcPr>
          <w:p w:rsidR="007445AD" w:rsidRDefault="007445AD">
            <w:pPr>
              <w:rPr>
                <w:sz w:val="16"/>
                <w:szCs w:val="16"/>
              </w:rPr>
            </w:pPr>
          </w:p>
        </w:tc>
        <w:tc>
          <w:tcPr>
            <w:tcW w:w="640" w:type="dxa"/>
            <w:tcBorders>
              <w:bottom w:val="single" w:sz="8" w:space="0" w:color="auto"/>
              <w:right w:val="single" w:sz="8" w:space="0" w:color="auto"/>
            </w:tcBorders>
            <w:vAlign w:val="bottom"/>
          </w:tcPr>
          <w:p w:rsidR="007445AD" w:rsidRDefault="007445AD">
            <w:pPr>
              <w:rPr>
                <w:sz w:val="16"/>
                <w:szCs w:val="16"/>
              </w:rPr>
            </w:pPr>
          </w:p>
        </w:tc>
        <w:tc>
          <w:tcPr>
            <w:tcW w:w="1340" w:type="dxa"/>
            <w:tcBorders>
              <w:bottom w:val="single" w:sz="8" w:space="0" w:color="auto"/>
              <w:right w:val="single" w:sz="8" w:space="0" w:color="auto"/>
            </w:tcBorders>
            <w:vAlign w:val="bottom"/>
          </w:tcPr>
          <w:p w:rsidR="007445AD" w:rsidRDefault="007445AD">
            <w:pPr>
              <w:rPr>
                <w:sz w:val="16"/>
                <w:szCs w:val="16"/>
              </w:rPr>
            </w:pPr>
          </w:p>
        </w:tc>
        <w:tc>
          <w:tcPr>
            <w:tcW w:w="3040" w:type="dxa"/>
            <w:tcBorders>
              <w:bottom w:val="single" w:sz="8" w:space="0" w:color="auto"/>
              <w:right w:val="single" w:sz="8" w:space="0" w:color="auto"/>
            </w:tcBorders>
            <w:vAlign w:val="bottom"/>
          </w:tcPr>
          <w:p w:rsidR="007445AD" w:rsidRDefault="007445AD">
            <w:pPr>
              <w:rPr>
                <w:sz w:val="16"/>
                <w:szCs w:val="16"/>
              </w:rPr>
            </w:pPr>
          </w:p>
        </w:tc>
        <w:tc>
          <w:tcPr>
            <w:tcW w:w="0" w:type="dxa"/>
            <w:vAlign w:val="bottom"/>
          </w:tcPr>
          <w:p w:rsidR="007445AD" w:rsidRDefault="007445AD">
            <w:pPr>
              <w:rPr>
                <w:sz w:val="1"/>
                <w:szCs w:val="1"/>
              </w:rPr>
            </w:pPr>
          </w:p>
        </w:tc>
      </w:tr>
      <w:tr w:rsidR="007445AD">
        <w:trPr>
          <w:trHeight w:val="175"/>
        </w:trPr>
        <w:tc>
          <w:tcPr>
            <w:tcW w:w="1920" w:type="dxa"/>
            <w:tcBorders>
              <w:left w:val="single" w:sz="8" w:space="0" w:color="auto"/>
              <w:right w:val="single" w:sz="8" w:space="0" w:color="auto"/>
            </w:tcBorders>
            <w:vAlign w:val="bottom"/>
          </w:tcPr>
          <w:p w:rsidR="007445AD" w:rsidRDefault="007445AD">
            <w:pPr>
              <w:rPr>
                <w:sz w:val="15"/>
                <w:szCs w:val="15"/>
              </w:rPr>
            </w:pPr>
          </w:p>
        </w:tc>
        <w:tc>
          <w:tcPr>
            <w:tcW w:w="2220" w:type="dxa"/>
            <w:gridSpan w:val="4"/>
            <w:tcBorders>
              <w:right w:val="single" w:sz="8" w:space="0" w:color="auto"/>
            </w:tcBorders>
            <w:vAlign w:val="bottom"/>
          </w:tcPr>
          <w:p w:rsidR="007445AD" w:rsidRDefault="004E6F0B">
            <w:pPr>
              <w:spacing w:line="175" w:lineRule="exact"/>
              <w:ind w:left="100"/>
              <w:rPr>
                <w:sz w:val="20"/>
                <w:szCs w:val="20"/>
              </w:rPr>
            </w:pPr>
            <w:r>
              <w:rPr>
                <w:rFonts w:eastAsia="Times New Roman"/>
                <w:sz w:val="16"/>
                <w:szCs w:val="16"/>
              </w:rPr>
              <w:t>K čl. I bod 3 návrhu zákona:</w:t>
            </w:r>
          </w:p>
        </w:tc>
        <w:tc>
          <w:tcPr>
            <w:tcW w:w="640" w:type="dxa"/>
            <w:tcBorders>
              <w:right w:val="single" w:sz="8" w:space="0" w:color="auto"/>
            </w:tcBorders>
            <w:vAlign w:val="bottom"/>
          </w:tcPr>
          <w:p w:rsidR="007445AD" w:rsidRDefault="007445AD">
            <w:pPr>
              <w:rPr>
                <w:sz w:val="15"/>
                <w:szCs w:val="15"/>
              </w:rPr>
            </w:pPr>
          </w:p>
        </w:tc>
        <w:tc>
          <w:tcPr>
            <w:tcW w:w="1340" w:type="dxa"/>
            <w:tcBorders>
              <w:right w:val="single" w:sz="8" w:space="0" w:color="auto"/>
            </w:tcBorders>
            <w:vAlign w:val="bottom"/>
          </w:tcPr>
          <w:p w:rsidR="007445AD" w:rsidRDefault="007445AD">
            <w:pPr>
              <w:rPr>
                <w:sz w:val="15"/>
                <w:szCs w:val="15"/>
              </w:rPr>
            </w:pPr>
          </w:p>
        </w:tc>
        <w:tc>
          <w:tcPr>
            <w:tcW w:w="3040" w:type="dxa"/>
            <w:vMerge w:val="restart"/>
            <w:tcBorders>
              <w:right w:val="single" w:sz="8" w:space="0" w:color="auto"/>
            </w:tcBorders>
            <w:vAlign w:val="bottom"/>
          </w:tcPr>
          <w:p w:rsidR="007445AD" w:rsidRDefault="004E6F0B">
            <w:pPr>
              <w:ind w:left="100"/>
              <w:rPr>
                <w:sz w:val="20"/>
                <w:szCs w:val="20"/>
              </w:rPr>
            </w:pPr>
            <w:r>
              <w:rPr>
                <w:rFonts w:ascii="Arial" w:eastAsia="Arial" w:hAnsi="Arial" w:cs="Arial"/>
                <w:sz w:val="25"/>
                <w:szCs w:val="25"/>
              </w:rPr>
              <w:t>Ustanovenie bolo</w:t>
            </w:r>
          </w:p>
        </w:tc>
        <w:tc>
          <w:tcPr>
            <w:tcW w:w="0" w:type="dxa"/>
            <w:vAlign w:val="bottom"/>
          </w:tcPr>
          <w:p w:rsidR="007445AD" w:rsidRDefault="007445AD">
            <w:pPr>
              <w:rPr>
                <w:sz w:val="1"/>
                <w:szCs w:val="1"/>
              </w:rPr>
            </w:pPr>
          </w:p>
        </w:tc>
      </w:tr>
      <w:tr w:rsidR="007445AD">
        <w:trPr>
          <w:trHeight w:val="191"/>
        </w:trPr>
        <w:tc>
          <w:tcPr>
            <w:tcW w:w="1920" w:type="dxa"/>
            <w:tcBorders>
              <w:left w:val="single" w:sz="8" w:space="0" w:color="auto"/>
              <w:right w:val="single" w:sz="8" w:space="0" w:color="auto"/>
            </w:tcBorders>
            <w:vAlign w:val="bottom"/>
          </w:tcPr>
          <w:p w:rsidR="007445AD" w:rsidRDefault="007445AD">
            <w:pPr>
              <w:rPr>
                <w:sz w:val="16"/>
                <w:szCs w:val="16"/>
              </w:rPr>
            </w:pPr>
          </w:p>
        </w:tc>
        <w:tc>
          <w:tcPr>
            <w:tcW w:w="660" w:type="dxa"/>
            <w:vAlign w:val="bottom"/>
          </w:tcPr>
          <w:p w:rsidR="007445AD" w:rsidRDefault="004E6F0B">
            <w:pPr>
              <w:spacing w:line="182" w:lineRule="exact"/>
              <w:ind w:left="100"/>
              <w:rPr>
                <w:sz w:val="20"/>
                <w:szCs w:val="20"/>
              </w:rPr>
            </w:pPr>
            <w:r>
              <w:rPr>
                <w:rFonts w:eastAsia="Times New Roman"/>
                <w:sz w:val="16"/>
                <w:szCs w:val="16"/>
              </w:rPr>
              <w:t>6.</w:t>
            </w:r>
          </w:p>
        </w:tc>
        <w:tc>
          <w:tcPr>
            <w:tcW w:w="980" w:type="dxa"/>
            <w:gridSpan w:val="2"/>
            <w:vAlign w:val="bottom"/>
          </w:tcPr>
          <w:p w:rsidR="007445AD" w:rsidRDefault="004E6F0B">
            <w:pPr>
              <w:spacing w:line="182" w:lineRule="exact"/>
              <w:ind w:left="40"/>
              <w:rPr>
                <w:sz w:val="20"/>
                <w:szCs w:val="20"/>
              </w:rPr>
            </w:pPr>
            <w:r>
              <w:rPr>
                <w:rFonts w:eastAsia="Times New Roman"/>
                <w:sz w:val="16"/>
                <w:szCs w:val="16"/>
              </w:rPr>
              <w:t>Odporúčame</w:t>
            </w:r>
          </w:p>
        </w:tc>
        <w:tc>
          <w:tcPr>
            <w:tcW w:w="580" w:type="dxa"/>
            <w:tcBorders>
              <w:right w:val="single" w:sz="8" w:space="0" w:color="auto"/>
            </w:tcBorders>
            <w:vAlign w:val="bottom"/>
          </w:tcPr>
          <w:p w:rsidR="007445AD" w:rsidRDefault="004E6F0B">
            <w:pPr>
              <w:spacing w:line="182" w:lineRule="exact"/>
              <w:ind w:right="40"/>
              <w:jc w:val="right"/>
              <w:rPr>
                <w:sz w:val="20"/>
                <w:szCs w:val="20"/>
              </w:rPr>
            </w:pPr>
            <w:r>
              <w:rPr>
                <w:rFonts w:eastAsia="Times New Roman"/>
                <w:sz w:val="16"/>
                <w:szCs w:val="16"/>
              </w:rPr>
              <w:t>v</w:t>
            </w:r>
          </w:p>
        </w:tc>
        <w:tc>
          <w:tcPr>
            <w:tcW w:w="640" w:type="dxa"/>
            <w:tcBorders>
              <w:right w:val="single" w:sz="8" w:space="0" w:color="auto"/>
            </w:tcBorders>
            <w:vAlign w:val="bottom"/>
          </w:tcPr>
          <w:p w:rsidR="007445AD" w:rsidRDefault="007445AD">
            <w:pPr>
              <w:rPr>
                <w:sz w:val="16"/>
                <w:szCs w:val="16"/>
              </w:rPr>
            </w:pPr>
          </w:p>
        </w:tc>
        <w:tc>
          <w:tcPr>
            <w:tcW w:w="1340" w:type="dxa"/>
            <w:tcBorders>
              <w:right w:val="single" w:sz="8" w:space="0" w:color="auto"/>
            </w:tcBorders>
            <w:vAlign w:val="bottom"/>
          </w:tcPr>
          <w:p w:rsidR="007445AD" w:rsidRDefault="007445AD">
            <w:pPr>
              <w:rPr>
                <w:sz w:val="16"/>
                <w:szCs w:val="16"/>
              </w:rPr>
            </w:pPr>
          </w:p>
        </w:tc>
        <w:tc>
          <w:tcPr>
            <w:tcW w:w="3040" w:type="dxa"/>
            <w:vMerge/>
            <w:tcBorders>
              <w:right w:val="single" w:sz="8" w:space="0" w:color="auto"/>
            </w:tcBorders>
            <w:vAlign w:val="bottom"/>
          </w:tcPr>
          <w:p w:rsidR="007445AD" w:rsidRDefault="007445AD">
            <w:pPr>
              <w:rPr>
                <w:sz w:val="16"/>
                <w:szCs w:val="16"/>
              </w:rPr>
            </w:pPr>
          </w:p>
        </w:tc>
        <w:tc>
          <w:tcPr>
            <w:tcW w:w="0" w:type="dxa"/>
            <w:vAlign w:val="bottom"/>
          </w:tcPr>
          <w:p w:rsidR="007445AD" w:rsidRDefault="007445AD">
            <w:pPr>
              <w:rPr>
                <w:sz w:val="1"/>
                <w:szCs w:val="1"/>
              </w:rPr>
            </w:pPr>
          </w:p>
        </w:tc>
      </w:tr>
      <w:tr w:rsidR="007445AD">
        <w:trPr>
          <w:trHeight w:val="177"/>
        </w:trPr>
        <w:tc>
          <w:tcPr>
            <w:tcW w:w="1920" w:type="dxa"/>
            <w:vMerge w:val="restart"/>
            <w:tcBorders>
              <w:left w:val="single" w:sz="8" w:space="0" w:color="auto"/>
              <w:right w:val="single" w:sz="8" w:space="0" w:color="auto"/>
            </w:tcBorders>
            <w:vAlign w:val="bottom"/>
          </w:tcPr>
          <w:p w:rsidR="007445AD" w:rsidRDefault="004E6F0B">
            <w:pPr>
              <w:ind w:left="120"/>
              <w:rPr>
                <w:sz w:val="20"/>
                <w:szCs w:val="20"/>
              </w:rPr>
            </w:pPr>
            <w:r>
              <w:rPr>
                <w:rFonts w:ascii="Arial" w:eastAsia="Arial" w:hAnsi="Arial" w:cs="Arial"/>
                <w:b/>
                <w:bCs/>
                <w:sz w:val="25"/>
                <w:szCs w:val="25"/>
              </w:rPr>
              <w:t>OAPSVLÚVSR</w:t>
            </w:r>
          </w:p>
        </w:tc>
        <w:tc>
          <w:tcPr>
            <w:tcW w:w="1220" w:type="dxa"/>
            <w:gridSpan w:val="2"/>
            <w:vAlign w:val="bottom"/>
          </w:tcPr>
          <w:p w:rsidR="007445AD" w:rsidRDefault="004E6F0B">
            <w:pPr>
              <w:spacing w:line="177" w:lineRule="exact"/>
              <w:ind w:left="100"/>
              <w:rPr>
                <w:sz w:val="20"/>
                <w:szCs w:val="20"/>
              </w:rPr>
            </w:pPr>
            <w:r>
              <w:rPr>
                <w:rFonts w:eastAsia="Times New Roman"/>
                <w:sz w:val="16"/>
                <w:szCs w:val="16"/>
              </w:rPr>
              <w:t>navrhovanom  §</w:t>
            </w:r>
          </w:p>
        </w:tc>
        <w:tc>
          <w:tcPr>
            <w:tcW w:w="420" w:type="dxa"/>
            <w:vAlign w:val="bottom"/>
          </w:tcPr>
          <w:p w:rsidR="007445AD" w:rsidRDefault="004E6F0B">
            <w:pPr>
              <w:spacing w:line="177" w:lineRule="exact"/>
              <w:ind w:left="100"/>
              <w:rPr>
                <w:sz w:val="20"/>
                <w:szCs w:val="20"/>
              </w:rPr>
            </w:pPr>
            <w:r>
              <w:rPr>
                <w:rFonts w:eastAsia="Times New Roman"/>
                <w:sz w:val="16"/>
                <w:szCs w:val="16"/>
              </w:rPr>
              <w:t>61k</w:t>
            </w:r>
          </w:p>
        </w:tc>
        <w:tc>
          <w:tcPr>
            <w:tcW w:w="580" w:type="dxa"/>
            <w:tcBorders>
              <w:right w:val="single" w:sz="8" w:space="0" w:color="auto"/>
            </w:tcBorders>
            <w:vAlign w:val="bottom"/>
          </w:tcPr>
          <w:p w:rsidR="007445AD" w:rsidRDefault="004E6F0B">
            <w:pPr>
              <w:spacing w:line="177" w:lineRule="exact"/>
              <w:ind w:right="40"/>
              <w:jc w:val="right"/>
              <w:rPr>
                <w:sz w:val="20"/>
                <w:szCs w:val="20"/>
              </w:rPr>
            </w:pPr>
            <w:r>
              <w:rPr>
                <w:rFonts w:eastAsia="Times New Roman"/>
                <w:sz w:val="16"/>
                <w:szCs w:val="16"/>
              </w:rPr>
              <w:t>uviesť</w:t>
            </w:r>
          </w:p>
        </w:tc>
        <w:tc>
          <w:tcPr>
            <w:tcW w:w="640" w:type="dxa"/>
            <w:vMerge w:val="restart"/>
            <w:tcBorders>
              <w:right w:val="single" w:sz="8" w:space="0" w:color="auto"/>
            </w:tcBorders>
            <w:vAlign w:val="bottom"/>
          </w:tcPr>
          <w:p w:rsidR="007445AD" w:rsidRDefault="004E6F0B">
            <w:pPr>
              <w:ind w:left="100"/>
              <w:rPr>
                <w:sz w:val="20"/>
                <w:szCs w:val="20"/>
              </w:rPr>
            </w:pPr>
            <w:r>
              <w:rPr>
                <w:rFonts w:ascii="Arial" w:eastAsia="Arial" w:hAnsi="Arial" w:cs="Arial"/>
                <w:sz w:val="25"/>
                <w:szCs w:val="25"/>
              </w:rPr>
              <w:t>O</w:t>
            </w:r>
          </w:p>
        </w:tc>
        <w:tc>
          <w:tcPr>
            <w:tcW w:w="1340" w:type="dxa"/>
            <w:vMerge w:val="restart"/>
            <w:tcBorders>
              <w:right w:val="single" w:sz="8" w:space="0" w:color="auto"/>
            </w:tcBorders>
            <w:vAlign w:val="bottom"/>
          </w:tcPr>
          <w:p w:rsidR="007445AD" w:rsidRDefault="004E6F0B">
            <w:pPr>
              <w:ind w:left="100"/>
              <w:rPr>
                <w:sz w:val="20"/>
                <w:szCs w:val="20"/>
              </w:rPr>
            </w:pPr>
            <w:r>
              <w:rPr>
                <w:rFonts w:ascii="Arial" w:eastAsia="Arial" w:hAnsi="Arial" w:cs="Arial"/>
                <w:sz w:val="25"/>
                <w:szCs w:val="25"/>
              </w:rPr>
              <w:t>A</w:t>
            </w:r>
          </w:p>
        </w:tc>
        <w:tc>
          <w:tcPr>
            <w:tcW w:w="3040" w:type="dxa"/>
            <w:vMerge w:val="restart"/>
            <w:tcBorders>
              <w:right w:val="single" w:sz="8" w:space="0" w:color="auto"/>
            </w:tcBorders>
            <w:vAlign w:val="bottom"/>
          </w:tcPr>
          <w:p w:rsidR="007445AD" w:rsidRDefault="004E6F0B">
            <w:pPr>
              <w:ind w:left="100"/>
              <w:rPr>
                <w:sz w:val="20"/>
                <w:szCs w:val="20"/>
              </w:rPr>
            </w:pPr>
            <w:r>
              <w:rPr>
                <w:rFonts w:ascii="Arial" w:eastAsia="Arial" w:hAnsi="Arial" w:cs="Arial"/>
                <w:sz w:val="25"/>
                <w:szCs w:val="25"/>
              </w:rPr>
              <w:t>prepracované; odkaz bol</w:t>
            </w:r>
          </w:p>
        </w:tc>
        <w:tc>
          <w:tcPr>
            <w:tcW w:w="0" w:type="dxa"/>
            <w:vAlign w:val="bottom"/>
          </w:tcPr>
          <w:p w:rsidR="007445AD" w:rsidRDefault="007445AD">
            <w:pPr>
              <w:rPr>
                <w:sz w:val="1"/>
                <w:szCs w:val="1"/>
              </w:rPr>
            </w:pPr>
          </w:p>
        </w:tc>
      </w:tr>
      <w:tr w:rsidR="007445AD">
        <w:trPr>
          <w:trHeight w:val="140"/>
        </w:trPr>
        <w:tc>
          <w:tcPr>
            <w:tcW w:w="1920" w:type="dxa"/>
            <w:vMerge/>
            <w:tcBorders>
              <w:left w:val="single" w:sz="8" w:space="0" w:color="auto"/>
              <w:right w:val="single" w:sz="8" w:space="0" w:color="auto"/>
            </w:tcBorders>
            <w:vAlign w:val="bottom"/>
          </w:tcPr>
          <w:p w:rsidR="007445AD" w:rsidRDefault="007445AD">
            <w:pPr>
              <w:rPr>
                <w:sz w:val="12"/>
                <w:szCs w:val="12"/>
              </w:rPr>
            </w:pPr>
          </w:p>
        </w:tc>
        <w:tc>
          <w:tcPr>
            <w:tcW w:w="1220" w:type="dxa"/>
            <w:gridSpan w:val="2"/>
            <w:vMerge w:val="restart"/>
            <w:vAlign w:val="bottom"/>
          </w:tcPr>
          <w:p w:rsidR="007445AD" w:rsidRDefault="004E6F0B">
            <w:pPr>
              <w:ind w:left="100"/>
              <w:rPr>
                <w:sz w:val="20"/>
                <w:szCs w:val="20"/>
              </w:rPr>
            </w:pPr>
            <w:r>
              <w:rPr>
                <w:rFonts w:eastAsia="Times New Roman"/>
                <w:sz w:val="16"/>
                <w:szCs w:val="16"/>
              </w:rPr>
              <w:t>prostredníctvom</w:t>
            </w:r>
          </w:p>
        </w:tc>
        <w:tc>
          <w:tcPr>
            <w:tcW w:w="1000" w:type="dxa"/>
            <w:gridSpan w:val="2"/>
            <w:vMerge w:val="restart"/>
            <w:tcBorders>
              <w:right w:val="single" w:sz="8" w:space="0" w:color="auto"/>
            </w:tcBorders>
            <w:vAlign w:val="bottom"/>
          </w:tcPr>
          <w:p w:rsidR="007445AD" w:rsidRDefault="004E6F0B">
            <w:pPr>
              <w:ind w:right="40"/>
              <w:jc w:val="right"/>
              <w:rPr>
                <w:sz w:val="20"/>
                <w:szCs w:val="20"/>
              </w:rPr>
            </w:pPr>
            <w:r>
              <w:rPr>
                <w:rFonts w:eastAsia="Times New Roman"/>
                <w:sz w:val="16"/>
                <w:szCs w:val="16"/>
              </w:rPr>
              <w:t>poznámky</w:t>
            </w:r>
          </w:p>
        </w:tc>
        <w:tc>
          <w:tcPr>
            <w:tcW w:w="640" w:type="dxa"/>
            <w:vMerge/>
            <w:tcBorders>
              <w:right w:val="single" w:sz="8" w:space="0" w:color="auto"/>
            </w:tcBorders>
            <w:vAlign w:val="bottom"/>
          </w:tcPr>
          <w:p w:rsidR="007445AD" w:rsidRDefault="007445AD">
            <w:pPr>
              <w:rPr>
                <w:sz w:val="12"/>
                <w:szCs w:val="12"/>
              </w:rPr>
            </w:pPr>
          </w:p>
        </w:tc>
        <w:tc>
          <w:tcPr>
            <w:tcW w:w="1340" w:type="dxa"/>
            <w:vMerge/>
            <w:tcBorders>
              <w:right w:val="single" w:sz="8" w:space="0" w:color="auto"/>
            </w:tcBorders>
            <w:vAlign w:val="bottom"/>
          </w:tcPr>
          <w:p w:rsidR="007445AD" w:rsidRDefault="007445AD">
            <w:pPr>
              <w:rPr>
                <w:sz w:val="12"/>
                <w:szCs w:val="12"/>
              </w:rPr>
            </w:pPr>
          </w:p>
        </w:tc>
        <w:tc>
          <w:tcPr>
            <w:tcW w:w="3040" w:type="dxa"/>
            <w:vMerge/>
            <w:tcBorders>
              <w:right w:val="single" w:sz="8" w:space="0" w:color="auto"/>
            </w:tcBorders>
            <w:vAlign w:val="bottom"/>
          </w:tcPr>
          <w:p w:rsidR="007445AD" w:rsidRDefault="007445AD">
            <w:pPr>
              <w:rPr>
                <w:sz w:val="12"/>
                <w:szCs w:val="12"/>
              </w:rPr>
            </w:pPr>
          </w:p>
        </w:tc>
        <w:tc>
          <w:tcPr>
            <w:tcW w:w="0" w:type="dxa"/>
            <w:vAlign w:val="bottom"/>
          </w:tcPr>
          <w:p w:rsidR="007445AD" w:rsidRDefault="007445AD">
            <w:pPr>
              <w:rPr>
                <w:sz w:val="1"/>
                <w:szCs w:val="1"/>
              </w:rPr>
            </w:pPr>
          </w:p>
        </w:tc>
      </w:tr>
      <w:tr w:rsidR="007445AD">
        <w:trPr>
          <w:trHeight w:val="44"/>
        </w:trPr>
        <w:tc>
          <w:tcPr>
            <w:tcW w:w="1920" w:type="dxa"/>
            <w:tcBorders>
              <w:left w:val="single" w:sz="8" w:space="0" w:color="auto"/>
              <w:right w:val="single" w:sz="8" w:space="0" w:color="auto"/>
            </w:tcBorders>
            <w:vAlign w:val="bottom"/>
          </w:tcPr>
          <w:p w:rsidR="007445AD" w:rsidRDefault="007445AD">
            <w:pPr>
              <w:rPr>
                <w:sz w:val="3"/>
                <w:szCs w:val="3"/>
              </w:rPr>
            </w:pPr>
          </w:p>
        </w:tc>
        <w:tc>
          <w:tcPr>
            <w:tcW w:w="1220" w:type="dxa"/>
            <w:gridSpan w:val="2"/>
            <w:vMerge/>
            <w:vAlign w:val="bottom"/>
          </w:tcPr>
          <w:p w:rsidR="007445AD" w:rsidRDefault="007445AD">
            <w:pPr>
              <w:rPr>
                <w:sz w:val="3"/>
                <w:szCs w:val="3"/>
              </w:rPr>
            </w:pPr>
          </w:p>
        </w:tc>
        <w:tc>
          <w:tcPr>
            <w:tcW w:w="1000" w:type="dxa"/>
            <w:gridSpan w:val="2"/>
            <w:vMerge/>
            <w:tcBorders>
              <w:right w:val="single" w:sz="8" w:space="0" w:color="auto"/>
            </w:tcBorders>
            <w:vAlign w:val="bottom"/>
          </w:tcPr>
          <w:p w:rsidR="007445AD" w:rsidRDefault="007445AD">
            <w:pPr>
              <w:rPr>
                <w:sz w:val="3"/>
                <w:szCs w:val="3"/>
              </w:rPr>
            </w:pPr>
          </w:p>
        </w:tc>
        <w:tc>
          <w:tcPr>
            <w:tcW w:w="640" w:type="dxa"/>
            <w:tcBorders>
              <w:right w:val="single" w:sz="8" w:space="0" w:color="auto"/>
            </w:tcBorders>
            <w:vAlign w:val="bottom"/>
          </w:tcPr>
          <w:p w:rsidR="007445AD" w:rsidRDefault="007445AD">
            <w:pPr>
              <w:rPr>
                <w:sz w:val="3"/>
                <w:szCs w:val="3"/>
              </w:rPr>
            </w:pPr>
          </w:p>
        </w:tc>
        <w:tc>
          <w:tcPr>
            <w:tcW w:w="1340" w:type="dxa"/>
            <w:tcBorders>
              <w:right w:val="single" w:sz="8" w:space="0" w:color="auto"/>
            </w:tcBorders>
            <w:vAlign w:val="bottom"/>
          </w:tcPr>
          <w:p w:rsidR="007445AD" w:rsidRDefault="007445AD">
            <w:pPr>
              <w:rPr>
                <w:sz w:val="3"/>
                <w:szCs w:val="3"/>
              </w:rPr>
            </w:pPr>
          </w:p>
        </w:tc>
        <w:tc>
          <w:tcPr>
            <w:tcW w:w="3040" w:type="dxa"/>
            <w:vMerge w:val="restart"/>
            <w:tcBorders>
              <w:right w:val="single" w:sz="8" w:space="0" w:color="auto"/>
            </w:tcBorders>
            <w:vAlign w:val="bottom"/>
          </w:tcPr>
          <w:p w:rsidR="007445AD" w:rsidRDefault="004E6F0B">
            <w:pPr>
              <w:spacing w:line="236" w:lineRule="exact"/>
              <w:ind w:left="100"/>
              <w:rPr>
                <w:sz w:val="20"/>
                <w:szCs w:val="20"/>
              </w:rPr>
            </w:pPr>
            <w:r>
              <w:rPr>
                <w:rFonts w:ascii="Arial" w:eastAsia="Arial" w:hAnsi="Arial" w:cs="Arial"/>
                <w:sz w:val="25"/>
                <w:szCs w:val="25"/>
              </w:rPr>
              <w:t>doplnený.</w:t>
            </w:r>
          </w:p>
        </w:tc>
        <w:tc>
          <w:tcPr>
            <w:tcW w:w="0" w:type="dxa"/>
            <w:vAlign w:val="bottom"/>
          </w:tcPr>
          <w:p w:rsidR="007445AD" w:rsidRDefault="007445AD">
            <w:pPr>
              <w:rPr>
                <w:sz w:val="1"/>
                <w:szCs w:val="1"/>
              </w:rPr>
            </w:pPr>
          </w:p>
        </w:tc>
      </w:tr>
      <w:tr w:rsidR="007445AD">
        <w:trPr>
          <w:trHeight w:val="192"/>
        </w:trPr>
        <w:tc>
          <w:tcPr>
            <w:tcW w:w="1920" w:type="dxa"/>
            <w:tcBorders>
              <w:left w:val="single" w:sz="8" w:space="0" w:color="auto"/>
              <w:right w:val="single" w:sz="8" w:space="0" w:color="auto"/>
            </w:tcBorders>
            <w:vAlign w:val="bottom"/>
          </w:tcPr>
          <w:p w:rsidR="007445AD" w:rsidRDefault="007445AD">
            <w:pPr>
              <w:rPr>
                <w:sz w:val="16"/>
                <w:szCs w:val="16"/>
              </w:rPr>
            </w:pPr>
          </w:p>
        </w:tc>
        <w:tc>
          <w:tcPr>
            <w:tcW w:w="2220" w:type="dxa"/>
            <w:gridSpan w:val="4"/>
            <w:tcBorders>
              <w:right w:val="single" w:sz="8" w:space="0" w:color="auto"/>
            </w:tcBorders>
            <w:vAlign w:val="bottom"/>
          </w:tcPr>
          <w:p w:rsidR="007445AD" w:rsidRDefault="004E6F0B">
            <w:pPr>
              <w:spacing w:line="182" w:lineRule="exact"/>
              <w:ind w:left="100"/>
              <w:rPr>
                <w:sz w:val="20"/>
                <w:szCs w:val="20"/>
              </w:rPr>
            </w:pPr>
            <w:r>
              <w:rPr>
                <w:rFonts w:eastAsia="Times New Roman"/>
                <w:sz w:val="16"/>
                <w:szCs w:val="16"/>
              </w:rPr>
              <w:t>pod čiarou odkaz na osobitný</w:t>
            </w:r>
          </w:p>
        </w:tc>
        <w:tc>
          <w:tcPr>
            <w:tcW w:w="640" w:type="dxa"/>
            <w:tcBorders>
              <w:right w:val="single" w:sz="8" w:space="0" w:color="auto"/>
            </w:tcBorders>
            <w:vAlign w:val="bottom"/>
          </w:tcPr>
          <w:p w:rsidR="007445AD" w:rsidRDefault="007445AD">
            <w:pPr>
              <w:rPr>
                <w:sz w:val="16"/>
                <w:szCs w:val="16"/>
              </w:rPr>
            </w:pPr>
          </w:p>
        </w:tc>
        <w:tc>
          <w:tcPr>
            <w:tcW w:w="1340" w:type="dxa"/>
            <w:tcBorders>
              <w:right w:val="single" w:sz="8" w:space="0" w:color="auto"/>
            </w:tcBorders>
            <w:vAlign w:val="bottom"/>
          </w:tcPr>
          <w:p w:rsidR="007445AD" w:rsidRDefault="007445AD">
            <w:pPr>
              <w:rPr>
                <w:sz w:val="16"/>
                <w:szCs w:val="16"/>
              </w:rPr>
            </w:pPr>
          </w:p>
        </w:tc>
        <w:tc>
          <w:tcPr>
            <w:tcW w:w="3040" w:type="dxa"/>
            <w:vMerge/>
            <w:tcBorders>
              <w:right w:val="single" w:sz="8" w:space="0" w:color="auto"/>
            </w:tcBorders>
            <w:vAlign w:val="bottom"/>
          </w:tcPr>
          <w:p w:rsidR="007445AD" w:rsidRDefault="007445AD">
            <w:pPr>
              <w:rPr>
                <w:sz w:val="16"/>
                <w:szCs w:val="16"/>
              </w:rPr>
            </w:pPr>
          </w:p>
        </w:tc>
        <w:tc>
          <w:tcPr>
            <w:tcW w:w="0" w:type="dxa"/>
            <w:vAlign w:val="bottom"/>
          </w:tcPr>
          <w:p w:rsidR="007445AD" w:rsidRDefault="007445AD">
            <w:pPr>
              <w:rPr>
                <w:sz w:val="1"/>
                <w:szCs w:val="1"/>
              </w:rPr>
            </w:pPr>
          </w:p>
        </w:tc>
      </w:tr>
      <w:tr w:rsidR="007445AD">
        <w:trPr>
          <w:trHeight w:val="175"/>
        </w:trPr>
        <w:tc>
          <w:tcPr>
            <w:tcW w:w="1920" w:type="dxa"/>
            <w:tcBorders>
              <w:left w:val="single" w:sz="8" w:space="0" w:color="auto"/>
              <w:bottom w:val="single" w:sz="8" w:space="0" w:color="auto"/>
              <w:right w:val="single" w:sz="8" w:space="0" w:color="auto"/>
            </w:tcBorders>
            <w:vAlign w:val="bottom"/>
          </w:tcPr>
          <w:p w:rsidR="007445AD" w:rsidRDefault="007445AD">
            <w:pPr>
              <w:rPr>
                <w:sz w:val="15"/>
                <w:szCs w:val="15"/>
              </w:rPr>
            </w:pPr>
          </w:p>
        </w:tc>
        <w:tc>
          <w:tcPr>
            <w:tcW w:w="660" w:type="dxa"/>
            <w:tcBorders>
              <w:bottom w:val="single" w:sz="8" w:space="0" w:color="auto"/>
            </w:tcBorders>
            <w:vAlign w:val="bottom"/>
          </w:tcPr>
          <w:p w:rsidR="007445AD" w:rsidRDefault="004E6F0B">
            <w:pPr>
              <w:spacing w:line="175" w:lineRule="exact"/>
              <w:ind w:left="100"/>
              <w:rPr>
                <w:sz w:val="20"/>
                <w:szCs w:val="20"/>
              </w:rPr>
            </w:pPr>
            <w:r>
              <w:rPr>
                <w:rFonts w:eastAsia="Times New Roman"/>
                <w:sz w:val="16"/>
                <w:szCs w:val="16"/>
              </w:rPr>
              <w:t>predpis.</w:t>
            </w:r>
          </w:p>
        </w:tc>
        <w:tc>
          <w:tcPr>
            <w:tcW w:w="560" w:type="dxa"/>
            <w:tcBorders>
              <w:bottom w:val="single" w:sz="8" w:space="0" w:color="auto"/>
            </w:tcBorders>
            <w:vAlign w:val="bottom"/>
          </w:tcPr>
          <w:p w:rsidR="007445AD" w:rsidRDefault="007445AD">
            <w:pPr>
              <w:rPr>
                <w:sz w:val="15"/>
                <w:szCs w:val="15"/>
              </w:rPr>
            </w:pPr>
          </w:p>
        </w:tc>
        <w:tc>
          <w:tcPr>
            <w:tcW w:w="420" w:type="dxa"/>
            <w:tcBorders>
              <w:bottom w:val="single" w:sz="8" w:space="0" w:color="auto"/>
            </w:tcBorders>
            <w:vAlign w:val="bottom"/>
          </w:tcPr>
          <w:p w:rsidR="007445AD" w:rsidRDefault="007445AD">
            <w:pPr>
              <w:rPr>
                <w:sz w:val="15"/>
                <w:szCs w:val="15"/>
              </w:rPr>
            </w:pPr>
          </w:p>
        </w:tc>
        <w:tc>
          <w:tcPr>
            <w:tcW w:w="580" w:type="dxa"/>
            <w:tcBorders>
              <w:bottom w:val="single" w:sz="8" w:space="0" w:color="auto"/>
              <w:right w:val="single" w:sz="8" w:space="0" w:color="auto"/>
            </w:tcBorders>
            <w:vAlign w:val="bottom"/>
          </w:tcPr>
          <w:p w:rsidR="007445AD" w:rsidRDefault="007445AD">
            <w:pPr>
              <w:rPr>
                <w:sz w:val="15"/>
                <w:szCs w:val="15"/>
              </w:rPr>
            </w:pPr>
          </w:p>
        </w:tc>
        <w:tc>
          <w:tcPr>
            <w:tcW w:w="640" w:type="dxa"/>
            <w:tcBorders>
              <w:bottom w:val="single" w:sz="8" w:space="0" w:color="auto"/>
              <w:right w:val="single" w:sz="8" w:space="0" w:color="auto"/>
            </w:tcBorders>
            <w:vAlign w:val="bottom"/>
          </w:tcPr>
          <w:p w:rsidR="007445AD" w:rsidRDefault="007445AD">
            <w:pPr>
              <w:rPr>
                <w:sz w:val="15"/>
                <w:szCs w:val="15"/>
              </w:rPr>
            </w:pPr>
          </w:p>
        </w:tc>
        <w:tc>
          <w:tcPr>
            <w:tcW w:w="1340" w:type="dxa"/>
            <w:tcBorders>
              <w:bottom w:val="single" w:sz="8" w:space="0" w:color="auto"/>
              <w:right w:val="single" w:sz="8" w:space="0" w:color="auto"/>
            </w:tcBorders>
            <w:vAlign w:val="bottom"/>
          </w:tcPr>
          <w:p w:rsidR="007445AD" w:rsidRDefault="007445AD">
            <w:pPr>
              <w:rPr>
                <w:sz w:val="15"/>
                <w:szCs w:val="15"/>
              </w:rPr>
            </w:pPr>
          </w:p>
        </w:tc>
        <w:tc>
          <w:tcPr>
            <w:tcW w:w="3040" w:type="dxa"/>
            <w:tcBorders>
              <w:bottom w:val="single" w:sz="8" w:space="0" w:color="auto"/>
              <w:right w:val="single" w:sz="8" w:space="0" w:color="auto"/>
            </w:tcBorders>
            <w:vAlign w:val="bottom"/>
          </w:tcPr>
          <w:p w:rsidR="007445AD" w:rsidRDefault="007445AD">
            <w:pPr>
              <w:rPr>
                <w:sz w:val="15"/>
                <w:szCs w:val="15"/>
              </w:rPr>
            </w:pPr>
          </w:p>
        </w:tc>
        <w:tc>
          <w:tcPr>
            <w:tcW w:w="0" w:type="dxa"/>
            <w:vAlign w:val="bottom"/>
          </w:tcPr>
          <w:p w:rsidR="007445AD" w:rsidRDefault="007445AD">
            <w:pPr>
              <w:rPr>
                <w:sz w:val="1"/>
                <w:szCs w:val="1"/>
              </w:rPr>
            </w:pPr>
          </w:p>
        </w:tc>
      </w:tr>
    </w:tbl>
    <w:p w:rsidR="007445AD" w:rsidRDefault="007445AD">
      <w:pPr>
        <w:spacing w:line="200" w:lineRule="exact"/>
        <w:rPr>
          <w:sz w:val="20"/>
          <w:szCs w:val="20"/>
        </w:rPr>
      </w:pPr>
    </w:p>
    <w:p w:rsidR="007445AD" w:rsidRDefault="007445AD">
      <w:pPr>
        <w:spacing w:line="248" w:lineRule="exact"/>
        <w:rPr>
          <w:sz w:val="20"/>
          <w:szCs w:val="20"/>
        </w:rPr>
      </w:pPr>
    </w:p>
    <w:p w:rsidR="007445AD" w:rsidRDefault="004E6F0B">
      <w:pPr>
        <w:spacing w:line="228" w:lineRule="auto"/>
        <w:ind w:left="4" w:right="80"/>
        <w:jc w:val="both"/>
        <w:rPr>
          <w:sz w:val="20"/>
          <w:szCs w:val="20"/>
        </w:rPr>
      </w:pPr>
      <w:r>
        <w:rPr>
          <w:rFonts w:eastAsia="Times New Roman"/>
          <w:sz w:val="24"/>
          <w:szCs w:val="24"/>
        </w:rPr>
        <w:t>Výklad § 218a Exekučného poriadku</w:t>
      </w:r>
      <w:r>
        <w:rPr>
          <w:rFonts w:eastAsia="Times New Roman"/>
          <w:sz w:val="32"/>
          <w:szCs w:val="32"/>
          <w:vertAlign w:val="superscript"/>
        </w:rPr>
        <w:t>6</w:t>
      </w:r>
      <w:r>
        <w:rPr>
          <w:rFonts w:eastAsia="Times New Roman"/>
          <w:sz w:val="24"/>
          <w:szCs w:val="24"/>
        </w:rPr>
        <w:t xml:space="preserve">: </w:t>
      </w:r>
      <w:r>
        <w:rPr>
          <w:rFonts w:eastAsia="Times New Roman"/>
          <w:i/>
          <w:iCs/>
          <w:sz w:val="24"/>
          <w:szCs w:val="24"/>
        </w:rPr>
        <w:t>„Svoju činnosť musí exekútor vykonávať s</w:t>
      </w:r>
      <w:r>
        <w:rPr>
          <w:rFonts w:eastAsia="Times New Roman"/>
          <w:sz w:val="24"/>
          <w:szCs w:val="24"/>
        </w:rPr>
        <w:t xml:space="preserve"> </w:t>
      </w:r>
      <w:r>
        <w:rPr>
          <w:rFonts w:eastAsia="Times New Roman"/>
          <w:i/>
          <w:iCs/>
          <w:sz w:val="24"/>
          <w:szCs w:val="24"/>
        </w:rPr>
        <w:t>vysokou</w:t>
      </w:r>
      <w:r>
        <w:rPr>
          <w:rFonts w:eastAsia="Times New Roman"/>
          <w:sz w:val="24"/>
          <w:szCs w:val="24"/>
        </w:rPr>
        <w:t xml:space="preserve"> </w:t>
      </w:r>
      <w:r>
        <w:rPr>
          <w:rFonts w:eastAsia="Times New Roman"/>
          <w:i/>
          <w:iCs/>
          <w:sz w:val="24"/>
          <w:szCs w:val="24"/>
        </w:rPr>
        <w:t>odbornou starostlivosťou, a to tak, aby osobám zúčastneným na exekučnom konaní, nemohla vzniknúť ujma na ich právach. Ak účastník konania ako aj iná osoba nadobudne pochybnosť o súlade konania exekútora s Exekučným poriadkom, ako aj so súvisiacimi právnymi predpismi alebo rozhodnutím súdu, môže sa domáhať ochrany svojich práv a právom chránených záujmoch podaním sťažnosti na postup exekútora.“</w:t>
      </w:r>
    </w:p>
    <w:p w:rsidR="007445AD" w:rsidRDefault="007445AD">
      <w:pPr>
        <w:spacing w:line="157" w:lineRule="exact"/>
        <w:rPr>
          <w:sz w:val="20"/>
          <w:szCs w:val="20"/>
        </w:rPr>
      </w:pPr>
    </w:p>
    <w:p w:rsidR="007445AD" w:rsidRDefault="004E6F0B">
      <w:pPr>
        <w:spacing w:line="228" w:lineRule="auto"/>
        <w:ind w:left="4" w:right="60"/>
        <w:jc w:val="both"/>
        <w:rPr>
          <w:sz w:val="20"/>
          <w:szCs w:val="20"/>
        </w:rPr>
      </w:pPr>
      <w:r>
        <w:rPr>
          <w:rFonts w:eastAsia="Times New Roman"/>
          <w:sz w:val="24"/>
          <w:szCs w:val="24"/>
        </w:rPr>
        <w:t>Výklad § 218d ods. 1 písm. a) až c) Exekučného poriadku</w:t>
      </w:r>
      <w:r>
        <w:rPr>
          <w:rFonts w:eastAsia="Times New Roman"/>
          <w:sz w:val="32"/>
          <w:szCs w:val="32"/>
          <w:vertAlign w:val="superscript"/>
        </w:rPr>
        <w:t>7</w:t>
      </w:r>
      <w:r>
        <w:rPr>
          <w:rFonts w:eastAsia="Times New Roman"/>
          <w:sz w:val="24"/>
          <w:szCs w:val="24"/>
        </w:rPr>
        <w:t xml:space="preserve">: </w:t>
      </w:r>
      <w:r>
        <w:rPr>
          <w:rFonts w:eastAsia="Times New Roman"/>
          <w:i/>
          <w:iCs/>
          <w:sz w:val="24"/>
          <w:szCs w:val="24"/>
        </w:rPr>
        <w:t>„Tento kontrolný mechanizmus</w:t>
      </w:r>
      <w:r>
        <w:rPr>
          <w:rFonts w:eastAsia="Times New Roman"/>
          <w:sz w:val="24"/>
          <w:szCs w:val="24"/>
        </w:rPr>
        <w:t xml:space="preserve"> </w:t>
      </w:r>
      <w:r>
        <w:rPr>
          <w:rFonts w:eastAsia="Times New Roman"/>
          <w:i/>
          <w:iCs/>
          <w:sz w:val="24"/>
          <w:szCs w:val="24"/>
        </w:rPr>
        <w:t>precizuje právomoci orgánov vykonávajúcich dohľad nad s cieľom kontroly dodržiavania hospodárnosti a efektívnosti konania súdneho exekútora pri nakladaní s finančnými prostriedkami vymoženými v rámci exekučného konania a mal by bezprostredne reagovať na indície nasvedčujúce potencionálne protiprávne konania súdneho exekútora v súvislosti s výkonom exekučnej činnosti a jeho finančnom disciplínou.“</w:t>
      </w:r>
    </w:p>
    <w:p w:rsidR="007445AD" w:rsidRDefault="007445AD">
      <w:pPr>
        <w:spacing w:line="92" w:lineRule="exact"/>
        <w:rPr>
          <w:sz w:val="20"/>
          <w:szCs w:val="20"/>
        </w:rPr>
      </w:pPr>
    </w:p>
    <w:p w:rsidR="007445AD" w:rsidRDefault="004E6F0B">
      <w:pPr>
        <w:ind w:left="4"/>
        <w:rPr>
          <w:sz w:val="20"/>
          <w:szCs w:val="20"/>
        </w:rPr>
      </w:pPr>
      <w:r>
        <w:rPr>
          <w:rFonts w:eastAsia="Times New Roman"/>
          <w:sz w:val="24"/>
          <w:szCs w:val="24"/>
        </w:rPr>
        <w:t>Výklad  §  220  ods.  1  druhá  veta  a ods.  2  prvá  veta  Exekučného  poriadku</w:t>
      </w:r>
      <w:r>
        <w:rPr>
          <w:rFonts w:eastAsia="Times New Roman"/>
          <w:sz w:val="32"/>
          <w:szCs w:val="32"/>
          <w:vertAlign w:val="superscript"/>
        </w:rPr>
        <w:t>8</w:t>
      </w:r>
      <w:r>
        <w:rPr>
          <w:rFonts w:eastAsia="Times New Roman"/>
          <w:sz w:val="24"/>
          <w:szCs w:val="24"/>
        </w:rPr>
        <w:t xml:space="preserve">:  </w:t>
      </w:r>
      <w:r>
        <w:rPr>
          <w:rFonts w:eastAsia="Times New Roman"/>
          <w:i/>
          <w:iCs/>
          <w:sz w:val="24"/>
          <w:szCs w:val="24"/>
        </w:rPr>
        <w:t>„Na  vznik</w:t>
      </w:r>
    </w:p>
    <w:p w:rsidR="007445AD" w:rsidRDefault="004E6F0B">
      <w:pPr>
        <w:spacing w:line="249" w:lineRule="auto"/>
        <w:ind w:left="4" w:right="60"/>
        <w:jc w:val="both"/>
        <w:rPr>
          <w:sz w:val="20"/>
          <w:szCs w:val="20"/>
        </w:rPr>
      </w:pPr>
      <w:r>
        <w:rPr>
          <w:rFonts w:eastAsia="Times New Roman"/>
          <w:i/>
          <w:iCs/>
          <w:sz w:val="23"/>
          <w:szCs w:val="23"/>
        </w:rPr>
        <w:t>disciplinárnej zodpovednosti musia byť naplnené materiálne a formálne predpoklady. Materiálny predpokladom disciplinárnej zodpovednosti je relevantný stupeň škodlivosti konania. Ak určité konanie síce napĺňa formálne znaky disciplinárneho previnenia, avšak jeho spoločenská škodlivosť nie je žiadna, takéto konanie nie je disciplinárnym previneným. Stupeň spoločenskej škodlivosti je zároveň kvalifikačným znakom rozlíšenia, či ide o disciplinárne previnenie alebo závažné disciplinárne previnenia, pri ktorom musí byť miera spoločenskej škodlivosti „zvýšená“. Formálnymi predpokladmi disciplinárnej zodpovednosti súdneho exekútora sú subjekt, subjektívna stránka, objekt a objektívna stránka. Subjektívnou stránkou je zavinenie. Zavinenie môže byť úmyselné alebo nedbanlivostné. Objektom disciplinárneho previnenia je aj záujem na ochrana práv fyzických a právnických osobách pri výkone rozhodnutia. Z objektívneho hľadiska je pri skutkovej postate „porušenia povinnosti pri výkone činnosti exekútora alebo porušenie iných povinností podľa Exekučného poriadku“ zaujímavá otázka, či je súdny exekútor disciplinárne zodpovedný aj v prípadoch, keď povinnosť porušil preto, že sa riadil nesprávnym právnym názorom pri výklade ustanovenia právneho predpisu. Odpoveď je potrebné hľadať v tom, či nesprávny právny výklad je možné podriadiť pod nedbanlivostné zavinenia. Ak súdny exekútor poruší povinnosť preto, že právny predpis nesprávne interpretoval, musí pre naplnenie disciplinárnej zodpovednosti existovať aspoň nevedomá nedbanlivosť vo vzťahu k interpretácii práva,, teda nevedel, že svojím konaním môže porušiť alebo ohroziť záujem chránený zákonom, hoci to vzhľadom na okolnosti a na svoje osobné pomery vedieť mal a mohol. Pre otázku zavinenia má preto význam posudzovať, či bol</w:t>
      </w:r>
    </w:p>
    <w:p w:rsidR="007445AD" w:rsidRDefault="007445AD">
      <w:pPr>
        <w:spacing w:line="23" w:lineRule="exact"/>
        <w:rPr>
          <w:sz w:val="20"/>
          <w:szCs w:val="20"/>
        </w:rPr>
      </w:pPr>
    </w:p>
    <w:p w:rsidR="007445AD" w:rsidRDefault="004E6F0B">
      <w:pPr>
        <w:spacing w:line="236" w:lineRule="auto"/>
        <w:ind w:left="4" w:right="60"/>
        <w:jc w:val="both"/>
        <w:rPr>
          <w:sz w:val="20"/>
          <w:szCs w:val="20"/>
        </w:rPr>
      </w:pPr>
      <w:r>
        <w:rPr>
          <w:rFonts w:eastAsia="Times New Roman"/>
          <w:i/>
          <w:iCs/>
          <w:sz w:val="24"/>
          <w:szCs w:val="24"/>
        </w:rPr>
        <w:t>výklad práva „kvalitný“. Napríklad objektívne nezmyselný výklad alebo výklad v rozpore s dlhodobo ustálenou praxou naznačuje, že súdny exekútor porušil povinnosť aspoň z nedbanlivosti. Avšak výklad opretý o rozpoznané interpretačné metódy, ktorý je objektívne</w:t>
      </w:r>
    </w:p>
    <w:p w:rsidR="007445AD" w:rsidRDefault="004E6F0B">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0</wp:posOffset>
                </wp:positionH>
                <wp:positionV relativeFrom="paragraph">
                  <wp:posOffset>167005</wp:posOffset>
                </wp:positionV>
                <wp:extent cx="182880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61BD113" id="Shape 5"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0,13.15pt" to="2in,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" o:allowincell="f" filled="t" strokeweight=".25397mm">
                <v:stroke joinstyle="miter"/>
                <o:lock v:ext="edit" shapetype="f"/>
              </v:line>
            </w:pict>
          </mc:Fallback>
        </mc:AlternateContent>
      </w:r>
    </w:p>
    <w:p w:rsidR="007445AD" w:rsidRDefault="007445AD">
      <w:pPr>
        <w:spacing w:line="266" w:lineRule="exact"/>
        <w:rPr>
          <w:sz w:val="20"/>
          <w:szCs w:val="20"/>
        </w:rPr>
      </w:pPr>
    </w:p>
    <w:p w:rsidR="007445AD" w:rsidRDefault="004E6F0B">
      <w:pPr>
        <w:numPr>
          <w:ilvl w:val="0"/>
          <w:numId w:val="11"/>
        </w:numPr>
        <w:tabs>
          <w:tab w:val="left" w:pos="104"/>
        </w:tabs>
        <w:ind w:left="104" w:hanging="104"/>
        <w:rPr>
          <w:rFonts w:ascii="Calibri" w:eastAsia="Calibri" w:hAnsi="Calibri" w:cs="Calibri"/>
          <w:sz w:val="26"/>
          <w:szCs w:val="26"/>
          <w:vertAlign w:val="superscript"/>
        </w:rPr>
      </w:pPr>
      <w:r>
        <w:rPr>
          <w:rFonts w:eastAsia="Times New Roman"/>
          <w:sz w:val="20"/>
          <w:szCs w:val="20"/>
        </w:rPr>
        <w:t>Števček, M., Kotrecová, A., Tomašovič, M., Molnár, P. a kol. Exekučný poriadok. Komentár. 3. vydanie. Praha</w:t>
      </w:r>
    </w:p>
    <w:p w:rsidR="007445AD" w:rsidRDefault="007445AD">
      <w:pPr>
        <w:spacing w:line="28" w:lineRule="exact"/>
        <w:rPr>
          <w:rFonts w:ascii="Calibri" w:eastAsia="Calibri" w:hAnsi="Calibri" w:cs="Calibri"/>
          <w:sz w:val="26"/>
          <w:szCs w:val="26"/>
          <w:vertAlign w:val="superscript"/>
        </w:rPr>
      </w:pPr>
    </w:p>
    <w:p w:rsidR="007445AD" w:rsidRDefault="004E6F0B">
      <w:pPr>
        <w:spacing w:line="220" w:lineRule="auto"/>
        <w:ind w:left="4"/>
        <w:rPr>
          <w:rFonts w:ascii="Calibri" w:eastAsia="Calibri" w:hAnsi="Calibri" w:cs="Calibri"/>
          <w:sz w:val="26"/>
          <w:szCs w:val="26"/>
          <w:vertAlign w:val="superscript"/>
        </w:rPr>
      </w:pPr>
      <w:r>
        <w:rPr>
          <w:rFonts w:eastAsia="Times New Roman"/>
          <w:sz w:val="20"/>
          <w:szCs w:val="20"/>
        </w:rPr>
        <w:t>: C. H. Beck, 2018, s. 894</w:t>
      </w:r>
    </w:p>
    <w:p w:rsidR="007445AD" w:rsidRDefault="004E6F0B">
      <w:pPr>
        <w:numPr>
          <w:ilvl w:val="0"/>
          <w:numId w:val="11"/>
        </w:numPr>
        <w:tabs>
          <w:tab w:val="left" w:pos="104"/>
        </w:tabs>
        <w:spacing w:line="184" w:lineRule="auto"/>
        <w:ind w:left="104" w:hanging="104"/>
        <w:rPr>
          <w:rFonts w:ascii="Calibri" w:eastAsia="Calibri" w:hAnsi="Calibri" w:cs="Calibri"/>
          <w:sz w:val="25"/>
          <w:szCs w:val="25"/>
          <w:vertAlign w:val="superscript"/>
        </w:rPr>
      </w:pPr>
      <w:r>
        <w:rPr>
          <w:rFonts w:eastAsia="Times New Roman"/>
          <w:sz w:val="19"/>
          <w:szCs w:val="19"/>
        </w:rPr>
        <w:t>Števček, M., Kotrecová, A., Tomašovič, M., Molnár, P. a kol. Exekučný poriadok. Komentár. 3. vydanie. Praha</w:t>
      </w:r>
    </w:p>
    <w:p w:rsidR="007445AD" w:rsidRDefault="007445AD">
      <w:pPr>
        <w:spacing w:line="30" w:lineRule="exact"/>
        <w:rPr>
          <w:rFonts w:ascii="Calibri" w:eastAsia="Calibri" w:hAnsi="Calibri" w:cs="Calibri"/>
          <w:sz w:val="25"/>
          <w:szCs w:val="25"/>
          <w:vertAlign w:val="superscript"/>
        </w:rPr>
      </w:pPr>
    </w:p>
    <w:p w:rsidR="007445AD" w:rsidRDefault="004E6F0B">
      <w:pPr>
        <w:spacing w:line="220" w:lineRule="auto"/>
        <w:ind w:left="4"/>
        <w:rPr>
          <w:rFonts w:ascii="Calibri" w:eastAsia="Calibri" w:hAnsi="Calibri" w:cs="Calibri"/>
          <w:sz w:val="25"/>
          <w:szCs w:val="25"/>
          <w:vertAlign w:val="superscript"/>
        </w:rPr>
      </w:pPr>
      <w:r>
        <w:rPr>
          <w:rFonts w:eastAsia="Times New Roman"/>
          <w:sz w:val="20"/>
          <w:szCs w:val="20"/>
        </w:rPr>
        <w:t>: C. H. Beck, 2018, s. 902</w:t>
      </w:r>
    </w:p>
    <w:p w:rsidR="007445AD" w:rsidRDefault="004E6F0B">
      <w:pPr>
        <w:numPr>
          <w:ilvl w:val="0"/>
          <w:numId w:val="11"/>
        </w:numPr>
        <w:tabs>
          <w:tab w:val="left" w:pos="104"/>
        </w:tabs>
        <w:spacing w:line="184" w:lineRule="auto"/>
        <w:ind w:left="104" w:hanging="104"/>
        <w:rPr>
          <w:rFonts w:ascii="Calibri" w:eastAsia="Calibri" w:hAnsi="Calibri" w:cs="Calibri"/>
          <w:sz w:val="25"/>
          <w:szCs w:val="25"/>
          <w:vertAlign w:val="superscript"/>
        </w:rPr>
      </w:pPr>
      <w:r>
        <w:rPr>
          <w:rFonts w:eastAsia="Times New Roman"/>
          <w:sz w:val="19"/>
          <w:szCs w:val="19"/>
        </w:rPr>
        <w:t>Števček, M., Kotrecová, A., Tomašovič, M., Molnár, P. a kol. Exekučný poriadok. Komentár. 3. vydanie. Praha</w:t>
      </w:r>
    </w:p>
    <w:p w:rsidR="007445AD" w:rsidRDefault="007445AD">
      <w:pPr>
        <w:spacing w:line="27" w:lineRule="exact"/>
        <w:rPr>
          <w:rFonts w:ascii="Calibri" w:eastAsia="Calibri" w:hAnsi="Calibri" w:cs="Calibri"/>
          <w:sz w:val="25"/>
          <w:szCs w:val="25"/>
          <w:vertAlign w:val="superscript"/>
        </w:rPr>
      </w:pPr>
    </w:p>
    <w:p w:rsidR="007445AD" w:rsidRDefault="004E6F0B">
      <w:pPr>
        <w:spacing w:line="220" w:lineRule="auto"/>
        <w:ind w:left="4"/>
        <w:rPr>
          <w:rFonts w:ascii="Calibri" w:eastAsia="Calibri" w:hAnsi="Calibri" w:cs="Calibri"/>
          <w:sz w:val="25"/>
          <w:szCs w:val="25"/>
          <w:vertAlign w:val="superscript"/>
        </w:rPr>
      </w:pPr>
      <w:r>
        <w:rPr>
          <w:rFonts w:eastAsia="Times New Roman"/>
          <w:sz w:val="20"/>
          <w:szCs w:val="20"/>
        </w:rPr>
        <w:t>: C. H. Beck, 2018, s. 909 až 911</w:t>
      </w:r>
    </w:p>
    <w:p w:rsidR="007445AD" w:rsidRDefault="007445AD">
      <w:pPr>
        <w:sectPr w:rsidR="007445AD">
          <w:pgSz w:w="11900" w:h="16838"/>
          <w:pgMar w:top="1395" w:right="1346" w:bottom="853" w:left="1416" w:header="0" w:footer="0" w:gutter="0"/>
          <w:cols w:space="708" w:equalWidth="0">
            <w:col w:w="9144"/>
          </w:cols>
        </w:sectPr>
      </w:pPr>
    </w:p>
    <w:p w:rsidR="007445AD" w:rsidRDefault="004E6F0B">
      <w:pPr>
        <w:spacing w:line="234" w:lineRule="auto"/>
        <w:ind w:left="4" w:right="20"/>
        <w:jc w:val="both"/>
        <w:rPr>
          <w:sz w:val="20"/>
          <w:szCs w:val="20"/>
        </w:rPr>
      </w:pPr>
      <w:bookmarkStart w:id="10" w:name="page10"/>
      <w:bookmarkEnd w:id="10"/>
      <w:r>
        <w:rPr>
          <w:rFonts w:eastAsia="Times New Roman"/>
          <w:i/>
          <w:iCs/>
          <w:sz w:val="24"/>
          <w:szCs w:val="24"/>
        </w:rPr>
        <w:lastRenderedPageBreak/>
        <w:t>hodný odbornej diskusie, vylučuje, aby bol súdny exekútor zodpovedný za to, že nejasnú právnu otázku interpretoval inak ako ostatní.“</w:t>
      </w:r>
    </w:p>
    <w:p w:rsidR="007445AD" w:rsidRDefault="007445AD">
      <w:pPr>
        <w:spacing w:line="175" w:lineRule="exact"/>
        <w:rPr>
          <w:sz w:val="20"/>
          <w:szCs w:val="20"/>
        </w:rPr>
      </w:pPr>
    </w:p>
    <w:p w:rsidR="007445AD" w:rsidRDefault="004E6F0B">
      <w:pPr>
        <w:spacing w:line="250" w:lineRule="auto"/>
        <w:ind w:left="4"/>
        <w:jc w:val="both"/>
        <w:rPr>
          <w:sz w:val="20"/>
          <w:szCs w:val="20"/>
        </w:rPr>
      </w:pPr>
      <w:r>
        <w:rPr>
          <w:rFonts w:eastAsia="Times New Roman"/>
          <w:sz w:val="23"/>
          <w:szCs w:val="23"/>
        </w:rPr>
        <w:t xml:space="preserve">Z Rozsudku Najvyššieho súdu Českej republiky z 31. augusta 2011, sp. zn. 29 Cdo 3213/2019, Rc 26/2012): </w:t>
      </w:r>
      <w:r>
        <w:rPr>
          <w:rFonts w:eastAsia="Times New Roman"/>
          <w:i/>
          <w:iCs/>
          <w:sz w:val="23"/>
          <w:szCs w:val="23"/>
        </w:rPr>
        <w:t>„Soud výkonu rozhodnutí (exekuční soud), ktorý po prohlášení konkursu na</w:t>
      </w:r>
      <w:r>
        <w:rPr>
          <w:rFonts w:eastAsia="Times New Roman"/>
          <w:sz w:val="23"/>
          <w:szCs w:val="23"/>
        </w:rPr>
        <w:t xml:space="preserve"> </w:t>
      </w:r>
      <w:r>
        <w:rPr>
          <w:rFonts w:eastAsia="Times New Roman"/>
          <w:i/>
          <w:iCs/>
          <w:sz w:val="23"/>
          <w:szCs w:val="23"/>
        </w:rPr>
        <w:t>majetek povinného (úpadce) pokračoval v provádění výkonu rozhodnutí (exekuce) postihujícím majetek patřící do konkursní podstaty povinného (úpadce), postupoval v rozporu se zákazem formulovaným v § 14 ods. 1. písm. e) ZKV ve znění účinném do 31. prosince 2007 a šlo tedy o nesprávný úřední postup ve smyslu § 13 ods. 1 zákona č. 82/1998 Sb. ve znení pozdějších předpisů; okolnost, že soud výkonu rozhodnutí o prohlášení konkursz nevědel, nemá na tento závěr zádného vlivu. Otázka vědomosti soudu výkonu rozhodnutí (exekučního soudu) o tom, že svým postupem po porušuje prohlášení konkursu na mejetek povinného (úpadce) zákaz formulovaný v § 14 ods. 1 písm. e) ZKB ve zněnení účinném do 31. prosince 2007, je otázkou posouzení tzv. subjektívního předpokladu odpovědnosti za škodu (zavinění daného psychickým stavem škůdce k vlastnímu protiprávnímu jednání a ke škodě, která je výsledkem tohto protiprávního jednáná) a jako taková nejen, že není (nemůže být) součástí posouzení, zda úřední postup soudu výkonu rozhodnutí (exekučního soudu) byl nesprávný, ale při posuzovaní odpovědnosti státu za škodu způsobenou nesprávným úředním postupem k ní lze přehlížet vůbec vzhledem k § 2 zákona č. 82/1998 Sb. ve znění pozdějších předpisů.“</w:t>
      </w:r>
    </w:p>
    <w:p w:rsidR="007445AD" w:rsidRDefault="007445AD">
      <w:pPr>
        <w:spacing w:line="169" w:lineRule="exact"/>
        <w:rPr>
          <w:sz w:val="20"/>
          <w:szCs w:val="20"/>
        </w:rPr>
      </w:pPr>
    </w:p>
    <w:p w:rsidR="007445AD" w:rsidRDefault="004E6F0B">
      <w:pPr>
        <w:spacing w:line="237" w:lineRule="auto"/>
        <w:ind w:left="4"/>
        <w:jc w:val="both"/>
        <w:rPr>
          <w:sz w:val="20"/>
          <w:szCs w:val="20"/>
        </w:rPr>
      </w:pPr>
      <w:r>
        <w:rPr>
          <w:rFonts w:eastAsia="Times New Roman"/>
          <w:sz w:val="24"/>
          <w:szCs w:val="24"/>
        </w:rPr>
        <w:t xml:space="preserve">Z Rozsudku Najvyššieho súdu Slovenskej republiky z 24. októbra 2013 sp. zn. 5 Obdo/22/2012: </w:t>
      </w:r>
      <w:r>
        <w:rPr>
          <w:rFonts w:eastAsia="Times New Roman"/>
          <w:i/>
          <w:iCs/>
          <w:sz w:val="24"/>
          <w:szCs w:val="24"/>
        </w:rPr>
        <w:t>„Vyhlásením konkurzu</w:t>
      </w:r>
      <w:r>
        <w:rPr>
          <w:rFonts w:eastAsia="Times New Roman"/>
          <w:sz w:val="24"/>
          <w:szCs w:val="24"/>
        </w:rPr>
        <w:t xml:space="preserve"> </w:t>
      </w:r>
      <w:r>
        <w:rPr>
          <w:rFonts w:eastAsia="Times New Roman"/>
          <w:i/>
          <w:iCs/>
          <w:sz w:val="24"/>
          <w:szCs w:val="24"/>
        </w:rPr>
        <w:t>sa</w:t>
      </w:r>
      <w:r>
        <w:rPr>
          <w:rFonts w:eastAsia="Times New Roman"/>
          <w:sz w:val="24"/>
          <w:szCs w:val="24"/>
        </w:rPr>
        <w:t xml:space="preserve"> </w:t>
      </w:r>
      <w:r>
        <w:rPr>
          <w:rFonts w:eastAsia="Times New Roman"/>
          <w:i/>
          <w:iCs/>
          <w:sz w:val="24"/>
          <w:szCs w:val="24"/>
        </w:rPr>
        <w:t>zo zákona exekučné konania</w:t>
      </w:r>
      <w:r>
        <w:rPr>
          <w:rFonts w:eastAsia="Times New Roman"/>
          <w:sz w:val="24"/>
          <w:szCs w:val="24"/>
        </w:rPr>
        <w:t xml:space="preserve"> </w:t>
      </w:r>
      <w:r>
        <w:rPr>
          <w:rFonts w:eastAsia="Times New Roman"/>
          <w:i/>
          <w:iCs/>
          <w:sz w:val="24"/>
          <w:szCs w:val="24"/>
        </w:rPr>
        <w:t>zastavuje a</w:t>
      </w:r>
      <w:r>
        <w:rPr>
          <w:rFonts w:eastAsia="Times New Roman"/>
          <w:sz w:val="24"/>
          <w:szCs w:val="24"/>
        </w:rPr>
        <w:t xml:space="preserve"> </w:t>
      </w:r>
      <w:r>
        <w:rPr>
          <w:rFonts w:eastAsia="Times New Roman"/>
          <w:i/>
          <w:iCs/>
          <w:sz w:val="24"/>
          <w:szCs w:val="24"/>
        </w:rPr>
        <w:t>zrušuje</w:t>
      </w:r>
      <w:r>
        <w:rPr>
          <w:rFonts w:eastAsia="Times New Roman"/>
          <w:sz w:val="24"/>
          <w:szCs w:val="24"/>
        </w:rPr>
        <w:t xml:space="preserve"> </w:t>
      </w:r>
      <w:r>
        <w:rPr>
          <w:rFonts w:eastAsia="Times New Roman"/>
          <w:i/>
          <w:iCs/>
          <w:sz w:val="24"/>
          <w:szCs w:val="24"/>
        </w:rPr>
        <w:t>exekučné záložné právo. Zriadené exekučné záložné právo na majetok patriaci do konkurznej podstaty nevytvára veriteľovi v konkurznom konaní postavenie zabezpečeného (oddeleného) veriteľa .“</w:t>
      </w:r>
    </w:p>
    <w:p w:rsidR="007445AD" w:rsidRDefault="007445AD">
      <w:pPr>
        <w:spacing w:line="176" w:lineRule="exact"/>
        <w:rPr>
          <w:sz w:val="20"/>
          <w:szCs w:val="20"/>
        </w:rPr>
      </w:pPr>
    </w:p>
    <w:p w:rsidR="007445AD" w:rsidRDefault="004E6F0B">
      <w:pPr>
        <w:numPr>
          <w:ilvl w:val="0"/>
          <w:numId w:val="12"/>
        </w:numPr>
        <w:tabs>
          <w:tab w:val="left" w:pos="210"/>
        </w:tabs>
        <w:spacing w:line="238" w:lineRule="auto"/>
        <w:ind w:left="4" w:hanging="4"/>
        <w:jc w:val="both"/>
        <w:rPr>
          <w:rFonts w:eastAsia="Times New Roman"/>
          <w:sz w:val="24"/>
          <w:szCs w:val="24"/>
        </w:rPr>
      </w:pPr>
      <w:r>
        <w:rPr>
          <w:rFonts w:eastAsia="Times New Roman"/>
          <w:sz w:val="24"/>
          <w:szCs w:val="24"/>
        </w:rPr>
        <w:t xml:space="preserve">Uznesenia Najvyššieho súdu Slovenskej republiky 5 E Cdo 252/2014: </w:t>
      </w:r>
      <w:r>
        <w:rPr>
          <w:rFonts w:eastAsia="Times New Roman"/>
          <w:i/>
          <w:iCs/>
          <w:sz w:val="24"/>
          <w:szCs w:val="24"/>
        </w:rPr>
        <w:t>„V</w:t>
      </w:r>
      <w:r>
        <w:rPr>
          <w:rFonts w:eastAsia="Times New Roman"/>
          <w:sz w:val="24"/>
          <w:szCs w:val="24"/>
        </w:rPr>
        <w:t xml:space="preserve"> </w:t>
      </w:r>
      <w:r>
        <w:rPr>
          <w:rFonts w:eastAsia="Times New Roman"/>
          <w:i/>
          <w:iCs/>
          <w:sz w:val="24"/>
          <w:szCs w:val="24"/>
        </w:rPr>
        <w:t>deň nasledujúci po</w:t>
      </w:r>
      <w:r>
        <w:rPr>
          <w:rFonts w:eastAsia="Times New Roman"/>
          <w:sz w:val="24"/>
          <w:szCs w:val="24"/>
        </w:rPr>
        <w:t xml:space="preserve"> </w:t>
      </w:r>
      <w:r>
        <w:rPr>
          <w:rFonts w:eastAsia="Times New Roman"/>
          <w:i/>
          <w:iCs/>
          <w:sz w:val="24"/>
          <w:szCs w:val="24"/>
        </w:rPr>
        <w:t>zverejnení uznesenia konkurzného súdu o vyhlásení konkurzu na majetok dlžníka v Obchodnom vestníku dochádza ex lege k zastaveniu prebiehajúceho exekučného konania, v ktorom bol dlžník (úpadca) v procesnej pozícii povinného a za podmienky, že exekúcia sa viedla na jeho majetok, ktorý podlieha konkurzu. Rozhodnutie vydané súdom po tom, čo už nastali účinky vyhlásenia konkurzu, zakladá vadu konania v zmysle § 237 písm. f) Občianskeho súdneho poriadku; uvedený „postup“ súdu sa prieči i základnému právu na súdnu ochranu )čl. 46 ods. 1 Ústavy Slovenskej republiky).“</w:t>
      </w:r>
    </w:p>
    <w:p w:rsidR="007445AD" w:rsidRDefault="007445AD">
      <w:pPr>
        <w:spacing w:line="179" w:lineRule="exact"/>
        <w:rPr>
          <w:sz w:val="20"/>
          <w:szCs w:val="20"/>
        </w:rPr>
      </w:pPr>
    </w:p>
    <w:p w:rsidR="007445AD" w:rsidRDefault="004E6F0B">
      <w:pPr>
        <w:spacing w:line="238" w:lineRule="auto"/>
        <w:ind w:left="4"/>
        <w:jc w:val="both"/>
        <w:rPr>
          <w:sz w:val="20"/>
          <w:szCs w:val="20"/>
        </w:rPr>
      </w:pPr>
      <w:r>
        <w:rPr>
          <w:rFonts w:eastAsia="Times New Roman"/>
          <w:i/>
          <w:iCs/>
          <w:sz w:val="24"/>
          <w:szCs w:val="24"/>
        </w:rPr>
        <w:t>Z Rozsudku Najvyššieho správneho súdu Českej republiky z 30. mája 2011 sp. zn. 14 Kse 3/2011-43: „Nečiinost soudního eekutora, má-li charakter kárného provinění podle § 116 ods. 2 písm. a) EŘ, představuje skutek tvající, jehož podstatou je vyvolání a následné udržování protiprávního stavu, přičemž za ukončení tohto protiprávního stavu se považuje úkon smeřujíci k jeho odstranění, tedy procesní úkon směřujúcí k jeho odstranění, tedy procesné úkon směřujúcí k vymožení pohledávky oprávněného, případne jiný úkon směřujúcí ke skončení exekuce.“</w:t>
      </w:r>
    </w:p>
    <w:p w:rsidR="007445AD" w:rsidRDefault="007445AD">
      <w:pPr>
        <w:spacing w:line="163" w:lineRule="exact"/>
        <w:rPr>
          <w:sz w:val="20"/>
          <w:szCs w:val="20"/>
        </w:rPr>
      </w:pPr>
    </w:p>
    <w:p w:rsidR="007445AD" w:rsidRDefault="004E6F0B">
      <w:pPr>
        <w:ind w:left="4"/>
        <w:rPr>
          <w:sz w:val="20"/>
          <w:szCs w:val="20"/>
        </w:rPr>
      </w:pPr>
      <w:r>
        <w:rPr>
          <w:rFonts w:eastAsia="Times New Roman"/>
          <w:sz w:val="24"/>
          <w:szCs w:val="24"/>
        </w:rPr>
        <w:t>Z Rozsudku Najvyššieho súdu Slovenskej republiky z 21. mája 2012 sp. zn. 15 Kse 12/2011-</w:t>
      </w:r>
    </w:p>
    <w:p w:rsidR="007445AD" w:rsidRDefault="007445AD">
      <w:pPr>
        <w:spacing w:line="12" w:lineRule="exact"/>
        <w:rPr>
          <w:sz w:val="20"/>
          <w:szCs w:val="20"/>
        </w:rPr>
      </w:pPr>
    </w:p>
    <w:p w:rsidR="007445AD" w:rsidRDefault="004E6F0B">
      <w:pPr>
        <w:numPr>
          <w:ilvl w:val="0"/>
          <w:numId w:val="13"/>
        </w:numPr>
        <w:tabs>
          <w:tab w:val="left" w:pos="484"/>
        </w:tabs>
        <w:spacing w:line="250" w:lineRule="auto"/>
        <w:ind w:left="4" w:hanging="4"/>
        <w:jc w:val="both"/>
        <w:rPr>
          <w:rFonts w:eastAsia="Times New Roman"/>
          <w:sz w:val="23"/>
          <w:szCs w:val="23"/>
        </w:rPr>
      </w:pPr>
      <w:r>
        <w:rPr>
          <w:rFonts w:eastAsia="Times New Roman"/>
          <w:i/>
          <w:iCs/>
          <w:sz w:val="23"/>
          <w:szCs w:val="23"/>
        </w:rPr>
        <w:t>„U soudního exekutora, jakožto osoby, u níž je vyžadována, nadto a priori předpoklávána znalost práva, tím více platí zásada ignorantia iuris non excusat vyjadřující povinnost osob znát ustnovění právních norem, jimiž se musí řídit. Vyplýva z ní nemožnost zprostit se právní odpovědnosti za neznalost právní normy. Na tomto míste lze podotknout, že je třeba činit rozdílu mezi omylem právním (error, ignorantia iurs) a omylem skutkovým, faktickým (error in facti).</w:t>
      </w:r>
    </w:p>
    <w:p w:rsidR="007445AD" w:rsidRDefault="007445AD">
      <w:pPr>
        <w:spacing w:line="3" w:lineRule="exact"/>
        <w:rPr>
          <w:sz w:val="20"/>
          <w:szCs w:val="20"/>
        </w:rPr>
      </w:pPr>
    </w:p>
    <w:p w:rsidR="007445AD" w:rsidRDefault="004E6F0B">
      <w:pPr>
        <w:spacing w:line="234" w:lineRule="auto"/>
        <w:ind w:left="4" w:right="20"/>
        <w:rPr>
          <w:sz w:val="20"/>
          <w:szCs w:val="20"/>
        </w:rPr>
      </w:pPr>
      <w:r>
        <w:rPr>
          <w:rFonts w:eastAsia="Times New Roman"/>
          <w:i/>
          <w:iCs/>
          <w:sz w:val="24"/>
          <w:szCs w:val="24"/>
        </w:rPr>
        <w:t>Zatímco omyl právní, totiž neznalost právních předpisú je zásadne neomluvitelný, omyl o skutkových okolnostech omluvit lze, nejedná-li se o hrubou nedbalost.“</w:t>
      </w:r>
    </w:p>
    <w:p w:rsidR="007445AD" w:rsidRDefault="007445AD">
      <w:pPr>
        <w:sectPr w:rsidR="007445AD">
          <w:pgSz w:w="11900" w:h="16838"/>
          <w:pgMar w:top="1425" w:right="1406" w:bottom="1440" w:left="1416" w:header="0" w:footer="0" w:gutter="0"/>
          <w:cols w:space="708" w:equalWidth="0">
            <w:col w:w="9084"/>
          </w:cols>
        </w:sectPr>
      </w:pPr>
    </w:p>
    <w:p w:rsidR="007445AD" w:rsidRDefault="004E6F0B">
      <w:pPr>
        <w:spacing w:line="250" w:lineRule="auto"/>
        <w:ind w:left="4"/>
        <w:jc w:val="both"/>
        <w:rPr>
          <w:sz w:val="20"/>
          <w:szCs w:val="20"/>
        </w:rPr>
      </w:pPr>
      <w:bookmarkStart w:id="11" w:name="page11"/>
      <w:bookmarkEnd w:id="11"/>
      <w:r>
        <w:rPr>
          <w:rFonts w:eastAsia="Times New Roman"/>
          <w:sz w:val="23"/>
          <w:szCs w:val="23"/>
        </w:rPr>
        <w:lastRenderedPageBreak/>
        <w:t xml:space="preserve">Z výroku Rozhodnutia Disciplinárnej komisie Slovenskej komory exekútorov DK 34/2013: </w:t>
      </w:r>
      <w:r>
        <w:rPr>
          <w:rFonts w:eastAsia="Times New Roman"/>
          <w:i/>
          <w:iCs/>
          <w:sz w:val="23"/>
          <w:szCs w:val="23"/>
        </w:rPr>
        <w:t>„Disciplinárne konanie sp.zn. DK 34/2013 začaté na návrh prezidenta Slovenskej komory exekútorov JUDr. Ing. Miroslava Pallera zo dňa 21.10.2013, ktorý bol podaný dňa 21.10.2013, proti disciplinárne obvinenej súdnej exekútorke Mgr. Z. R., Exekútorský úrad D. S., za skutok, ktorým sa mala dopustiť závažného disciplinárneho previnenia podľa ust. § 220 ods. 2 Exekučného poriadku pri výkone exekúcie vedenej na jej úrade v exekučnom konaní pod sp.zn. EX 220/09 tým, žeodblokovala účet povinného vedený v UnicreditBank, a.s. až po viac ako troch rokoch od skončenia exekúcie, a teda sa mala dopustiť zavineného porušenia povinností pri výkone činnosti exekútora a pri vybavovaní sťažnosti na činnosť exekútora porušením ust.</w:t>
      </w:r>
    </w:p>
    <w:p w:rsidR="007445AD" w:rsidRDefault="007445AD">
      <w:pPr>
        <w:spacing w:line="5" w:lineRule="exact"/>
        <w:rPr>
          <w:sz w:val="20"/>
          <w:szCs w:val="20"/>
        </w:rPr>
      </w:pPr>
    </w:p>
    <w:p w:rsidR="007445AD" w:rsidRDefault="004E6F0B">
      <w:pPr>
        <w:numPr>
          <w:ilvl w:val="0"/>
          <w:numId w:val="14"/>
        </w:numPr>
        <w:tabs>
          <w:tab w:val="left" w:pos="186"/>
        </w:tabs>
        <w:spacing w:line="234" w:lineRule="auto"/>
        <w:ind w:left="4" w:right="20" w:hanging="4"/>
        <w:rPr>
          <w:rFonts w:eastAsia="Times New Roman"/>
          <w:i/>
          <w:iCs/>
          <w:sz w:val="24"/>
          <w:szCs w:val="24"/>
        </w:rPr>
      </w:pPr>
      <w:r>
        <w:rPr>
          <w:rFonts w:eastAsia="Times New Roman"/>
          <w:i/>
          <w:iCs/>
          <w:sz w:val="24"/>
          <w:szCs w:val="24"/>
        </w:rPr>
        <w:t>96 ods. 4 Exekučného poriadku, sa zastavuje ,pretože zanikla zodpovednosť za disciplinárne previnenie.“</w:t>
      </w:r>
    </w:p>
    <w:p w:rsidR="007445AD" w:rsidRDefault="007445AD">
      <w:pPr>
        <w:spacing w:line="162" w:lineRule="exact"/>
        <w:rPr>
          <w:sz w:val="20"/>
          <w:szCs w:val="20"/>
        </w:rPr>
      </w:pPr>
    </w:p>
    <w:p w:rsidR="007445AD" w:rsidRDefault="004E6F0B">
      <w:pPr>
        <w:ind w:left="4"/>
        <w:rPr>
          <w:sz w:val="20"/>
          <w:szCs w:val="20"/>
        </w:rPr>
      </w:pPr>
      <w:r>
        <w:rPr>
          <w:rFonts w:eastAsia="Times New Roman"/>
          <w:b/>
          <w:bCs/>
          <w:sz w:val="24"/>
          <w:szCs w:val="24"/>
        </w:rPr>
        <w:t>1.3. Návrh na zmenu právnej úpravy</w:t>
      </w:r>
    </w:p>
    <w:p w:rsidR="007445AD" w:rsidRDefault="007445AD">
      <w:pPr>
        <w:spacing w:line="174" w:lineRule="exact"/>
        <w:rPr>
          <w:sz w:val="20"/>
          <w:szCs w:val="20"/>
        </w:rPr>
      </w:pPr>
    </w:p>
    <w:p w:rsidR="007445AD" w:rsidRDefault="004E6F0B">
      <w:pPr>
        <w:numPr>
          <w:ilvl w:val="0"/>
          <w:numId w:val="15"/>
        </w:numPr>
        <w:tabs>
          <w:tab w:val="left" w:pos="239"/>
        </w:tabs>
        <w:spacing w:line="236" w:lineRule="auto"/>
        <w:ind w:left="4" w:right="20" w:hanging="4"/>
        <w:jc w:val="both"/>
        <w:rPr>
          <w:rFonts w:eastAsia="Times New Roman"/>
          <w:sz w:val="24"/>
          <w:szCs w:val="24"/>
        </w:rPr>
      </w:pPr>
      <w:r>
        <w:rPr>
          <w:rFonts w:eastAsia="Times New Roman"/>
          <w:sz w:val="24"/>
          <w:szCs w:val="24"/>
        </w:rPr>
        <w:t xml:space="preserve">§ 61n ods. 3 Exekučného poriadku sa navrhuje za slová </w:t>
      </w:r>
      <w:r>
        <w:rPr>
          <w:rFonts w:eastAsia="Times New Roman"/>
          <w:i/>
          <w:iCs/>
          <w:sz w:val="24"/>
          <w:szCs w:val="24"/>
        </w:rPr>
        <w:t>„v celosti“,</w:t>
      </w:r>
      <w:r>
        <w:rPr>
          <w:rFonts w:eastAsia="Times New Roman"/>
          <w:sz w:val="24"/>
          <w:szCs w:val="24"/>
        </w:rPr>
        <w:t xml:space="preserve"> vložiť slová: </w:t>
      </w:r>
      <w:r>
        <w:rPr>
          <w:rFonts w:eastAsia="Times New Roman"/>
          <w:i/>
          <w:iCs/>
          <w:sz w:val="24"/>
          <w:szCs w:val="24"/>
        </w:rPr>
        <w:t>„exekútor</w:t>
      </w:r>
      <w:r>
        <w:rPr>
          <w:rFonts w:eastAsia="Times New Roman"/>
          <w:sz w:val="24"/>
          <w:szCs w:val="24"/>
        </w:rPr>
        <w:t xml:space="preserve"> </w:t>
      </w:r>
      <w:r>
        <w:rPr>
          <w:rFonts w:eastAsia="Times New Roman"/>
          <w:i/>
          <w:iCs/>
          <w:sz w:val="24"/>
          <w:szCs w:val="24"/>
        </w:rPr>
        <w:t>vydá upovedomenie o zastavení exekúcie do 15 dní odo dňa vyhlásenie oznámenie o vyhlásení konkurzu v Obchodnom vestníku a“.</w:t>
      </w:r>
    </w:p>
    <w:p w:rsidR="007445AD" w:rsidRDefault="007445AD">
      <w:pPr>
        <w:spacing w:line="172" w:lineRule="exact"/>
        <w:rPr>
          <w:sz w:val="20"/>
          <w:szCs w:val="20"/>
        </w:rPr>
      </w:pPr>
    </w:p>
    <w:p w:rsidR="007445AD" w:rsidRDefault="004E6F0B">
      <w:pPr>
        <w:spacing w:line="238" w:lineRule="auto"/>
        <w:ind w:left="4" w:right="20"/>
        <w:jc w:val="both"/>
        <w:rPr>
          <w:sz w:val="20"/>
          <w:szCs w:val="20"/>
        </w:rPr>
      </w:pPr>
      <w:r>
        <w:rPr>
          <w:rFonts w:eastAsia="Times New Roman"/>
          <w:sz w:val="24"/>
          <w:szCs w:val="24"/>
        </w:rPr>
        <w:t>V § 61n Exekučného poriadku navrhujeme doplniť nový odsek, ktorý znie: „</w:t>
      </w:r>
      <w:r>
        <w:rPr>
          <w:rFonts w:eastAsia="Times New Roman"/>
          <w:i/>
          <w:iCs/>
          <w:sz w:val="24"/>
          <w:szCs w:val="24"/>
        </w:rPr>
        <w:t>Ak ide o</w:t>
      </w:r>
      <w:r>
        <w:rPr>
          <w:rFonts w:eastAsia="Times New Roman"/>
          <w:sz w:val="24"/>
          <w:szCs w:val="24"/>
        </w:rPr>
        <w:t xml:space="preserve"> </w:t>
      </w:r>
      <w:r>
        <w:rPr>
          <w:rFonts w:eastAsia="Times New Roman"/>
          <w:i/>
          <w:iCs/>
          <w:sz w:val="24"/>
          <w:szCs w:val="24"/>
        </w:rPr>
        <w:t>dôvod</w:t>
      </w:r>
      <w:r>
        <w:rPr>
          <w:rFonts w:eastAsia="Times New Roman"/>
          <w:sz w:val="24"/>
          <w:szCs w:val="24"/>
        </w:rPr>
        <w:t xml:space="preserve"> </w:t>
      </w:r>
      <w:r>
        <w:rPr>
          <w:rFonts w:eastAsia="Times New Roman"/>
          <w:i/>
          <w:iCs/>
          <w:sz w:val="24"/>
          <w:szCs w:val="24"/>
        </w:rPr>
        <w:t xml:space="preserve">podľa odseku 1 písm. f), exekútor je povinný vydať exekučný príkaz na odblokovanie účtu povinného do troch dní po ukončení exekučného konania. “ </w:t>
      </w:r>
      <w:r>
        <w:rPr>
          <w:rFonts w:eastAsia="Times New Roman"/>
          <w:sz w:val="24"/>
          <w:szCs w:val="24"/>
        </w:rPr>
        <w:t>Zároveň</w:t>
      </w:r>
      <w:r>
        <w:rPr>
          <w:rFonts w:eastAsia="Times New Roman"/>
          <w:i/>
          <w:iCs/>
          <w:sz w:val="24"/>
          <w:szCs w:val="24"/>
        </w:rPr>
        <w:t xml:space="preserve"> </w:t>
      </w:r>
      <w:r>
        <w:rPr>
          <w:rFonts w:eastAsia="Times New Roman"/>
          <w:sz w:val="24"/>
          <w:szCs w:val="24"/>
        </w:rPr>
        <w:t>sa navrhuje bez</w:t>
      </w:r>
      <w:r>
        <w:rPr>
          <w:rFonts w:eastAsia="Times New Roman"/>
          <w:i/>
          <w:iCs/>
          <w:sz w:val="24"/>
          <w:szCs w:val="24"/>
        </w:rPr>
        <w:t xml:space="preserve"> </w:t>
      </w:r>
      <w:r>
        <w:rPr>
          <w:rFonts w:eastAsia="Times New Roman"/>
          <w:sz w:val="24"/>
          <w:szCs w:val="24"/>
        </w:rPr>
        <w:t>konkrétneho paragrafového znenia ďalším návrhom na zmenu právnej úpravy zosúladiť návrh autora právnej anlýzy podľa predchádzajúcej vety s § 66 a nasl., § 89 a nasl. Exekučného poriadku.</w:t>
      </w:r>
    </w:p>
    <w:p w:rsidR="007445AD" w:rsidRDefault="007445AD">
      <w:pPr>
        <w:spacing w:line="175" w:lineRule="exact"/>
        <w:rPr>
          <w:sz w:val="20"/>
          <w:szCs w:val="20"/>
        </w:rPr>
      </w:pPr>
    </w:p>
    <w:p w:rsidR="007445AD" w:rsidRDefault="004E6F0B">
      <w:pPr>
        <w:spacing w:line="239" w:lineRule="auto"/>
        <w:ind w:left="4" w:right="20"/>
        <w:jc w:val="both"/>
        <w:rPr>
          <w:rFonts w:eastAsia="Times New Roman"/>
          <w:sz w:val="24"/>
          <w:szCs w:val="24"/>
        </w:rPr>
      </w:pPr>
      <w:r>
        <w:rPr>
          <w:rFonts w:eastAsia="Times New Roman"/>
          <w:sz w:val="24"/>
          <w:szCs w:val="24"/>
        </w:rPr>
        <w:t>Základom pre návrhy je jednak stotožnenie sa s právnym názorom, podľa ktorého časový posun nemá relevanciu ani vo vzťahu k odblokovaniu majetku povinného, pretože vznik povinnosti súdneho exekútora odblokovať majetok povinného sa v tomto prípade vyvodzuje v čase, kedy sa súdny exekútor dozvedel o existencii dôvodu, s ktorým zákon spája zastavenie exekučného konania, pretože k zastaveniu konania už došlo zo zákona a s výkladom, že v deň nasledujúci po zverejnení uznesenia konkurzného súdu o vyhlásení konkurzu na majetok dlžníka v Obchodnom vestníku dochádza ex lege k zastaveniu prebiehajúceho exekučného konania s tým, že ďalšie procesné úkony exekútora. smerujúce k zastaveniu exekúcie nemajú právny účinok, zároveň aj právny názor navrhovateľa Zákona, ktorým sa mení a dopĺňa Exekučný poriadok v Medzirezortnom pripomienkovom konaní LP/2016/695, a to systematickým označením § 61k ako „Zastavenie exekúcie zo zákona</w:t>
      </w:r>
      <w:r>
        <w:rPr>
          <w:rFonts w:eastAsia="Times New Roman"/>
          <w:i/>
          <w:iCs/>
          <w:sz w:val="24"/>
          <w:szCs w:val="24"/>
        </w:rPr>
        <w:t>“</w:t>
      </w:r>
      <w:r>
        <w:rPr>
          <w:rFonts w:eastAsia="Times New Roman"/>
          <w:sz w:val="24"/>
          <w:szCs w:val="24"/>
        </w:rPr>
        <w:t>.</w:t>
      </w:r>
    </w:p>
    <w:p w:rsidR="008B416C" w:rsidRDefault="008B416C">
      <w:pPr>
        <w:spacing w:line="239" w:lineRule="auto"/>
        <w:ind w:left="4" w:right="20"/>
        <w:jc w:val="both"/>
        <w:rPr>
          <w:rFonts w:eastAsia="Times New Roman"/>
          <w:sz w:val="24"/>
          <w:szCs w:val="24"/>
        </w:rPr>
      </w:pPr>
    </w:p>
    <w:p w:rsidR="008B416C" w:rsidRDefault="008B416C">
      <w:pPr>
        <w:spacing w:line="239" w:lineRule="auto"/>
        <w:ind w:left="4" w:right="20"/>
        <w:jc w:val="both"/>
        <w:rPr>
          <w:rFonts w:eastAsia="Times New Roman"/>
          <w:sz w:val="24"/>
          <w:szCs w:val="24"/>
        </w:rPr>
      </w:pPr>
    </w:p>
    <w:p w:rsidR="008B416C" w:rsidRDefault="008B416C">
      <w:pPr>
        <w:spacing w:line="239" w:lineRule="auto"/>
        <w:ind w:left="4" w:right="20"/>
        <w:jc w:val="both"/>
        <w:rPr>
          <w:rFonts w:eastAsia="Times New Roman"/>
          <w:sz w:val="24"/>
          <w:szCs w:val="24"/>
        </w:rPr>
      </w:pPr>
    </w:p>
    <w:p w:rsidR="008B416C" w:rsidRDefault="008B416C">
      <w:pPr>
        <w:spacing w:line="239" w:lineRule="auto"/>
        <w:ind w:left="4" w:right="20"/>
        <w:jc w:val="both"/>
        <w:rPr>
          <w:rFonts w:eastAsia="Times New Roman"/>
          <w:sz w:val="24"/>
          <w:szCs w:val="24"/>
        </w:rPr>
      </w:pPr>
    </w:p>
    <w:p w:rsidR="008B416C" w:rsidRDefault="008B416C">
      <w:pPr>
        <w:spacing w:line="239" w:lineRule="auto"/>
        <w:ind w:left="4" w:right="20"/>
        <w:jc w:val="both"/>
        <w:rPr>
          <w:rFonts w:eastAsia="Times New Roman"/>
          <w:sz w:val="24"/>
          <w:szCs w:val="24"/>
        </w:rPr>
      </w:pPr>
    </w:p>
    <w:p w:rsidR="008B416C" w:rsidRDefault="008B416C">
      <w:pPr>
        <w:spacing w:line="239" w:lineRule="auto"/>
        <w:ind w:left="4" w:right="20"/>
        <w:jc w:val="both"/>
        <w:rPr>
          <w:rFonts w:eastAsia="Times New Roman"/>
          <w:sz w:val="24"/>
          <w:szCs w:val="24"/>
        </w:rPr>
      </w:pPr>
    </w:p>
    <w:p w:rsidR="008B416C" w:rsidRDefault="008B416C">
      <w:pPr>
        <w:spacing w:line="239" w:lineRule="auto"/>
        <w:ind w:left="4" w:right="20"/>
        <w:jc w:val="both"/>
        <w:rPr>
          <w:rFonts w:eastAsia="Times New Roman"/>
          <w:sz w:val="24"/>
          <w:szCs w:val="24"/>
        </w:rPr>
      </w:pPr>
    </w:p>
    <w:p w:rsidR="008B416C" w:rsidRDefault="008B416C">
      <w:pPr>
        <w:spacing w:line="239" w:lineRule="auto"/>
        <w:ind w:left="4" w:right="20"/>
        <w:jc w:val="both"/>
        <w:rPr>
          <w:rFonts w:eastAsia="Times New Roman"/>
          <w:sz w:val="24"/>
          <w:szCs w:val="24"/>
        </w:rPr>
      </w:pPr>
    </w:p>
    <w:p w:rsidR="008B416C" w:rsidRDefault="008B416C">
      <w:pPr>
        <w:spacing w:line="239" w:lineRule="auto"/>
        <w:ind w:left="4" w:right="20"/>
        <w:jc w:val="both"/>
        <w:rPr>
          <w:rFonts w:eastAsia="Times New Roman"/>
          <w:sz w:val="24"/>
          <w:szCs w:val="24"/>
        </w:rPr>
      </w:pPr>
    </w:p>
    <w:p w:rsidR="008B416C" w:rsidRDefault="008B416C">
      <w:pPr>
        <w:spacing w:line="239" w:lineRule="auto"/>
        <w:ind w:left="4" w:right="20"/>
        <w:jc w:val="both"/>
        <w:rPr>
          <w:rFonts w:eastAsia="Times New Roman"/>
          <w:sz w:val="24"/>
          <w:szCs w:val="24"/>
        </w:rPr>
      </w:pPr>
    </w:p>
    <w:p w:rsidR="008B416C" w:rsidRDefault="008B416C">
      <w:pPr>
        <w:spacing w:line="239" w:lineRule="auto"/>
        <w:ind w:left="4" w:right="20"/>
        <w:jc w:val="both"/>
        <w:rPr>
          <w:rFonts w:eastAsia="Times New Roman"/>
          <w:sz w:val="24"/>
          <w:szCs w:val="24"/>
        </w:rPr>
      </w:pPr>
    </w:p>
    <w:p w:rsidR="008B416C" w:rsidRDefault="008B416C">
      <w:pPr>
        <w:spacing w:line="239" w:lineRule="auto"/>
        <w:ind w:left="4" w:right="20"/>
        <w:jc w:val="both"/>
        <w:rPr>
          <w:rFonts w:eastAsia="Times New Roman"/>
          <w:sz w:val="24"/>
          <w:szCs w:val="24"/>
        </w:rPr>
      </w:pPr>
    </w:p>
    <w:p w:rsidR="008B416C" w:rsidRDefault="008B416C">
      <w:pPr>
        <w:spacing w:line="239" w:lineRule="auto"/>
        <w:ind w:left="4" w:right="20"/>
        <w:jc w:val="both"/>
        <w:rPr>
          <w:rFonts w:eastAsia="Times New Roman"/>
          <w:sz w:val="24"/>
          <w:szCs w:val="24"/>
        </w:rPr>
      </w:pPr>
    </w:p>
    <w:p w:rsidR="008B416C" w:rsidRDefault="008B416C" w:rsidP="008B416C">
      <w:pPr>
        <w:spacing w:line="239" w:lineRule="auto"/>
        <w:ind w:right="20"/>
        <w:jc w:val="both"/>
        <w:rPr>
          <w:rFonts w:eastAsia="Times New Roman"/>
          <w:sz w:val="24"/>
          <w:szCs w:val="24"/>
        </w:rPr>
      </w:pPr>
    </w:p>
    <w:p w:rsidR="008B416C" w:rsidRPr="008B416C" w:rsidRDefault="008B416C" w:rsidP="008B416C">
      <w:pPr>
        <w:rPr>
          <w:sz w:val="24"/>
          <w:szCs w:val="24"/>
        </w:rPr>
      </w:pPr>
      <w:r w:rsidRPr="008B416C">
        <w:rPr>
          <w:sz w:val="24"/>
          <w:szCs w:val="24"/>
        </w:rPr>
        <w:t>Tento projekt je podporený z Európskeho sociálneho fondu z Operačného programu Efektívna verejná správa.</w:t>
      </w:r>
    </w:p>
    <w:p w:rsidR="008B416C" w:rsidRDefault="008B416C">
      <w:pPr>
        <w:spacing w:line="239" w:lineRule="auto"/>
        <w:ind w:left="4" w:right="20"/>
        <w:jc w:val="both"/>
        <w:rPr>
          <w:sz w:val="20"/>
          <w:szCs w:val="20"/>
        </w:rPr>
      </w:pPr>
    </w:p>
    <w:sectPr w:rsidR="008B416C">
      <w:pgSz w:w="11900" w:h="16838"/>
      <w:pgMar w:top="1425" w:right="1406" w:bottom="1440" w:left="1416" w:header="0" w:footer="0" w:gutter="0"/>
      <w:cols w:space="708" w:equalWidth="0">
        <w:col w:w="908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31B"/>
    <w:multiLevelType w:val="hybridMultilevel"/>
    <w:tmpl w:val="741CC2DE"/>
    <w:lvl w:ilvl="0" w:tplc="53963582">
      <w:start w:val="3"/>
      <w:numFmt w:val="decimal"/>
      <w:lvlText w:val="%1"/>
      <w:lvlJc w:val="left"/>
    </w:lvl>
    <w:lvl w:ilvl="1" w:tplc="06E4C570">
      <w:numFmt w:val="decimal"/>
      <w:lvlText w:val=""/>
      <w:lvlJc w:val="left"/>
    </w:lvl>
    <w:lvl w:ilvl="2" w:tplc="D80CD7E6">
      <w:numFmt w:val="decimal"/>
      <w:lvlText w:val=""/>
      <w:lvlJc w:val="left"/>
    </w:lvl>
    <w:lvl w:ilvl="3" w:tplc="0E1A4FFE">
      <w:numFmt w:val="decimal"/>
      <w:lvlText w:val=""/>
      <w:lvlJc w:val="left"/>
    </w:lvl>
    <w:lvl w:ilvl="4" w:tplc="5D8E65CA">
      <w:numFmt w:val="decimal"/>
      <w:lvlText w:val=""/>
      <w:lvlJc w:val="left"/>
    </w:lvl>
    <w:lvl w:ilvl="5" w:tplc="9410B3F2">
      <w:numFmt w:val="decimal"/>
      <w:lvlText w:val=""/>
      <w:lvlJc w:val="left"/>
    </w:lvl>
    <w:lvl w:ilvl="6" w:tplc="D584DE1C">
      <w:numFmt w:val="decimal"/>
      <w:lvlText w:val=""/>
      <w:lvlJc w:val="left"/>
    </w:lvl>
    <w:lvl w:ilvl="7" w:tplc="959E610C">
      <w:numFmt w:val="decimal"/>
      <w:lvlText w:val=""/>
      <w:lvlJc w:val="left"/>
    </w:lvl>
    <w:lvl w:ilvl="8" w:tplc="66DEB5B0">
      <w:numFmt w:val="decimal"/>
      <w:lvlText w:val=""/>
      <w:lvlJc w:val="left"/>
    </w:lvl>
  </w:abstractNum>
  <w:abstractNum w:abstractNumId="1" w15:restartNumberingAfterBreak="0">
    <w:nsid w:val="0DED7263"/>
    <w:multiLevelType w:val="hybridMultilevel"/>
    <w:tmpl w:val="60784D8A"/>
    <w:lvl w:ilvl="0" w:tplc="1CD451EE">
      <w:start w:val="111"/>
      <w:numFmt w:val="decimal"/>
      <w:lvlText w:val="%1:"/>
      <w:lvlJc w:val="left"/>
    </w:lvl>
    <w:lvl w:ilvl="1" w:tplc="A788ACB8">
      <w:numFmt w:val="decimal"/>
      <w:lvlText w:val=""/>
      <w:lvlJc w:val="left"/>
    </w:lvl>
    <w:lvl w:ilvl="2" w:tplc="BAD0449A">
      <w:numFmt w:val="decimal"/>
      <w:lvlText w:val=""/>
      <w:lvlJc w:val="left"/>
    </w:lvl>
    <w:lvl w:ilvl="3" w:tplc="170A3642">
      <w:numFmt w:val="decimal"/>
      <w:lvlText w:val=""/>
      <w:lvlJc w:val="left"/>
    </w:lvl>
    <w:lvl w:ilvl="4" w:tplc="EC9A50E6">
      <w:numFmt w:val="decimal"/>
      <w:lvlText w:val=""/>
      <w:lvlJc w:val="left"/>
    </w:lvl>
    <w:lvl w:ilvl="5" w:tplc="18C0049E">
      <w:numFmt w:val="decimal"/>
      <w:lvlText w:val=""/>
      <w:lvlJc w:val="left"/>
    </w:lvl>
    <w:lvl w:ilvl="6" w:tplc="794CD2D4">
      <w:numFmt w:val="decimal"/>
      <w:lvlText w:val=""/>
      <w:lvlJc w:val="left"/>
    </w:lvl>
    <w:lvl w:ilvl="7" w:tplc="8C0E8D48">
      <w:numFmt w:val="decimal"/>
      <w:lvlText w:val=""/>
      <w:lvlJc w:val="left"/>
    </w:lvl>
    <w:lvl w:ilvl="8" w:tplc="98AA2A8E">
      <w:numFmt w:val="decimal"/>
      <w:lvlText w:val=""/>
      <w:lvlJc w:val="left"/>
    </w:lvl>
  </w:abstractNum>
  <w:abstractNum w:abstractNumId="2" w15:restartNumberingAfterBreak="0">
    <w:nsid w:val="109CF92E"/>
    <w:multiLevelType w:val="hybridMultilevel"/>
    <w:tmpl w:val="02DE7D54"/>
    <w:lvl w:ilvl="0" w:tplc="6C264B62">
      <w:start w:val="26"/>
      <w:numFmt w:val="upperLetter"/>
      <w:lvlText w:val="%1"/>
      <w:lvlJc w:val="left"/>
    </w:lvl>
    <w:lvl w:ilvl="1" w:tplc="76F61C48">
      <w:numFmt w:val="decimal"/>
      <w:lvlText w:val=""/>
      <w:lvlJc w:val="left"/>
    </w:lvl>
    <w:lvl w:ilvl="2" w:tplc="5426CCA6">
      <w:numFmt w:val="decimal"/>
      <w:lvlText w:val=""/>
      <w:lvlJc w:val="left"/>
    </w:lvl>
    <w:lvl w:ilvl="3" w:tplc="890C33EC">
      <w:numFmt w:val="decimal"/>
      <w:lvlText w:val=""/>
      <w:lvlJc w:val="left"/>
    </w:lvl>
    <w:lvl w:ilvl="4" w:tplc="2EC6CB88">
      <w:numFmt w:val="decimal"/>
      <w:lvlText w:val=""/>
      <w:lvlJc w:val="left"/>
    </w:lvl>
    <w:lvl w:ilvl="5" w:tplc="96E4110E">
      <w:numFmt w:val="decimal"/>
      <w:lvlText w:val=""/>
      <w:lvlJc w:val="left"/>
    </w:lvl>
    <w:lvl w:ilvl="6" w:tplc="9D647EEE">
      <w:numFmt w:val="decimal"/>
      <w:lvlText w:val=""/>
      <w:lvlJc w:val="left"/>
    </w:lvl>
    <w:lvl w:ilvl="7" w:tplc="05A27DDE">
      <w:numFmt w:val="decimal"/>
      <w:lvlText w:val=""/>
      <w:lvlJc w:val="left"/>
    </w:lvl>
    <w:lvl w:ilvl="8" w:tplc="4568FA8C">
      <w:numFmt w:val="decimal"/>
      <w:lvlText w:val=""/>
      <w:lvlJc w:val="left"/>
    </w:lvl>
  </w:abstractNum>
  <w:abstractNum w:abstractNumId="3" w15:restartNumberingAfterBreak="0">
    <w:nsid w:val="1190CDE7"/>
    <w:multiLevelType w:val="hybridMultilevel"/>
    <w:tmpl w:val="C3F89120"/>
    <w:lvl w:ilvl="0" w:tplc="10EECB26">
      <w:start w:val="15"/>
      <w:numFmt w:val="lowerLetter"/>
      <w:lvlText w:val="%1"/>
      <w:lvlJc w:val="left"/>
    </w:lvl>
    <w:lvl w:ilvl="1" w:tplc="0714E7AA">
      <w:numFmt w:val="decimal"/>
      <w:lvlText w:val=""/>
      <w:lvlJc w:val="left"/>
    </w:lvl>
    <w:lvl w:ilvl="2" w:tplc="0C209226">
      <w:numFmt w:val="decimal"/>
      <w:lvlText w:val=""/>
      <w:lvlJc w:val="left"/>
    </w:lvl>
    <w:lvl w:ilvl="3" w:tplc="616E22E2">
      <w:numFmt w:val="decimal"/>
      <w:lvlText w:val=""/>
      <w:lvlJc w:val="left"/>
    </w:lvl>
    <w:lvl w:ilvl="4" w:tplc="93B62F54">
      <w:numFmt w:val="decimal"/>
      <w:lvlText w:val=""/>
      <w:lvlJc w:val="left"/>
    </w:lvl>
    <w:lvl w:ilvl="5" w:tplc="1ADCAA48">
      <w:numFmt w:val="decimal"/>
      <w:lvlText w:val=""/>
      <w:lvlJc w:val="left"/>
    </w:lvl>
    <w:lvl w:ilvl="6" w:tplc="24CE48B4">
      <w:numFmt w:val="decimal"/>
      <w:lvlText w:val=""/>
      <w:lvlJc w:val="left"/>
    </w:lvl>
    <w:lvl w:ilvl="7" w:tplc="A972F36E">
      <w:numFmt w:val="decimal"/>
      <w:lvlText w:val=""/>
      <w:lvlJc w:val="left"/>
    </w:lvl>
    <w:lvl w:ilvl="8" w:tplc="48FAF4C6">
      <w:numFmt w:val="decimal"/>
      <w:lvlText w:val=""/>
      <w:lvlJc w:val="left"/>
    </w:lvl>
  </w:abstractNum>
  <w:abstractNum w:abstractNumId="4" w15:restartNumberingAfterBreak="0">
    <w:nsid w:val="12200854"/>
    <w:multiLevelType w:val="hybridMultilevel"/>
    <w:tmpl w:val="DC867E54"/>
    <w:lvl w:ilvl="0" w:tplc="C4BA923E">
      <w:start w:val="1"/>
      <w:numFmt w:val="decimal"/>
      <w:lvlText w:val="%1"/>
      <w:lvlJc w:val="left"/>
    </w:lvl>
    <w:lvl w:ilvl="1" w:tplc="F9922362">
      <w:numFmt w:val="decimal"/>
      <w:lvlText w:val=""/>
      <w:lvlJc w:val="left"/>
    </w:lvl>
    <w:lvl w:ilvl="2" w:tplc="F12A84D8">
      <w:numFmt w:val="decimal"/>
      <w:lvlText w:val=""/>
      <w:lvlJc w:val="left"/>
    </w:lvl>
    <w:lvl w:ilvl="3" w:tplc="BF3268F0">
      <w:numFmt w:val="decimal"/>
      <w:lvlText w:val=""/>
      <w:lvlJc w:val="left"/>
    </w:lvl>
    <w:lvl w:ilvl="4" w:tplc="24925AA4">
      <w:numFmt w:val="decimal"/>
      <w:lvlText w:val=""/>
      <w:lvlJc w:val="left"/>
    </w:lvl>
    <w:lvl w:ilvl="5" w:tplc="A7748C3E">
      <w:numFmt w:val="decimal"/>
      <w:lvlText w:val=""/>
      <w:lvlJc w:val="left"/>
    </w:lvl>
    <w:lvl w:ilvl="6" w:tplc="93C6862C">
      <w:numFmt w:val="decimal"/>
      <w:lvlText w:val=""/>
      <w:lvlJc w:val="left"/>
    </w:lvl>
    <w:lvl w:ilvl="7" w:tplc="B0BE1EC6">
      <w:numFmt w:val="decimal"/>
      <w:lvlText w:val=""/>
      <w:lvlJc w:val="left"/>
    </w:lvl>
    <w:lvl w:ilvl="8" w:tplc="F0E88CA4">
      <w:numFmt w:val="decimal"/>
      <w:lvlText w:val=""/>
      <w:lvlJc w:val="left"/>
    </w:lvl>
  </w:abstractNum>
  <w:abstractNum w:abstractNumId="5" w15:restartNumberingAfterBreak="0">
    <w:nsid w:val="140E0F76"/>
    <w:multiLevelType w:val="hybridMultilevel"/>
    <w:tmpl w:val="3AD0CC32"/>
    <w:lvl w:ilvl="0" w:tplc="4C76A4A4">
      <w:start w:val="26"/>
      <w:numFmt w:val="upperLetter"/>
      <w:lvlText w:val="%1"/>
      <w:lvlJc w:val="left"/>
    </w:lvl>
    <w:lvl w:ilvl="1" w:tplc="CA0E302C">
      <w:numFmt w:val="decimal"/>
      <w:lvlText w:val=""/>
      <w:lvlJc w:val="left"/>
    </w:lvl>
    <w:lvl w:ilvl="2" w:tplc="5134B928">
      <w:numFmt w:val="decimal"/>
      <w:lvlText w:val=""/>
      <w:lvlJc w:val="left"/>
    </w:lvl>
    <w:lvl w:ilvl="3" w:tplc="E91465FA">
      <w:numFmt w:val="decimal"/>
      <w:lvlText w:val=""/>
      <w:lvlJc w:val="left"/>
    </w:lvl>
    <w:lvl w:ilvl="4" w:tplc="C276CD76">
      <w:numFmt w:val="decimal"/>
      <w:lvlText w:val=""/>
      <w:lvlJc w:val="left"/>
    </w:lvl>
    <w:lvl w:ilvl="5" w:tplc="E78CAD0A">
      <w:numFmt w:val="decimal"/>
      <w:lvlText w:val=""/>
      <w:lvlJc w:val="left"/>
    </w:lvl>
    <w:lvl w:ilvl="6" w:tplc="CDC474DC">
      <w:numFmt w:val="decimal"/>
      <w:lvlText w:val=""/>
      <w:lvlJc w:val="left"/>
    </w:lvl>
    <w:lvl w:ilvl="7" w:tplc="9CDC467C">
      <w:numFmt w:val="decimal"/>
      <w:lvlText w:val=""/>
      <w:lvlJc w:val="left"/>
    </w:lvl>
    <w:lvl w:ilvl="8" w:tplc="683C43AC">
      <w:numFmt w:val="decimal"/>
      <w:lvlText w:val=""/>
      <w:lvlJc w:val="left"/>
    </w:lvl>
  </w:abstractNum>
  <w:abstractNum w:abstractNumId="6" w15:restartNumberingAfterBreak="0">
    <w:nsid w:val="1BEFD79F"/>
    <w:multiLevelType w:val="hybridMultilevel"/>
    <w:tmpl w:val="14ECEC6E"/>
    <w:lvl w:ilvl="0" w:tplc="E154E376">
      <w:start w:val="22"/>
      <w:numFmt w:val="upperLetter"/>
      <w:lvlText w:val="%1"/>
      <w:lvlJc w:val="left"/>
    </w:lvl>
    <w:lvl w:ilvl="1" w:tplc="BC686468">
      <w:numFmt w:val="decimal"/>
      <w:lvlText w:val=""/>
      <w:lvlJc w:val="left"/>
    </w:lvl>
    <w:lvl w:ilvl="2" w:tplc="7C5C5136">
      <w:numFmt w:val="decimal"/>
      <w:lvlText w:val=""/>
      <w:lvlJc w:val="left"/>
    </w:lvl>
    <w:lvl w:ilvl="3" w:tplc="E5F44560">
      <w:numFmt w:val="decimal"/>
      <w:lvlText w:val=""/>
      <w:lvlJc w:val="left"/>
    </w:lvl>
    <w:lvl w:ilvl="4" w:tplc="FD14939A">
      <w:numFmt w:val="decimal"/>
      <w:lvlText w:val=""/>
      <w:lvlJc w:val="left"/>
    </w:lvl>
    <w:lvl w:ilvl="5" w:tplc="02A0199A">
      <w:numFmt w:val="decimal"/>
      <w:lvlText w:val=""/>
      <w:lvlJc w:val="left"/>
    </w:lvl>
    <w:lvl w:ilvl="6" w:tplc="950E9D3C">
      <w:numFmt w:val="decimal"/>
      <w:lvlText w:val=""/>
      <w:lvlJc w:val="left"/>
    </w:lvl>
    <w:lvl w:ilvl="7" w:tplc="B6C670C4">
      <w:numFmt w:val="decimal"/>
      <w:lvlText w:val=""/>
      <w:lvlJc w:val="left"/>
    </w:lvl>
    <w:lvl w:ilvl="8" w:tplc="7914574C">
      <w:numFmt w:val="decimal"/>
      <w:lvlText w:val=""/>
      <w:lvlJc w:val="left"/>
    </w:lvl>
  </w:abstractNum>
  <w:abstractNum w:abstractNumId="7" w15:restartNumberingAfterBreak="0">
    <w:nsid w:val="1F16E9E8"/>
    <w:multiLevelType w:val="hybridMultilevel"/>
    <w:tmpl w:val="BB44B090"/>
    <w:lvl w:ilvl="0" w:tplc="12D0FDD0">
      <w:start w:val="1"/>
      <w:numFmt w:val="decimal"/>
      <w:lvlText w:val="%1."/>
      <w:lvlJc w:val="left"/>
    </w:lvl>
    <w:lvl w:ilvl="1" w:tplc="CC80F036">
      <w:numFmt w:val="decimal"/>
      <w:lvlText w:val=""/>
      <w:lvlJc w:val="left"/>
    </w:lvl>
    <w:lvl w:ilvl="2" w:tplc="FD2291C8">
      <w:numFmt w:val="decimal"/>
      <w:lvlText w:val=""/>
      <w:lvlJc w:val="left"/>
    </w:lvl>
    <w:lvl w:ilvl="3" w:tplc="248C6CB0">
      <w:numFmt w:val="decimal"/>
      <w:lvlText w:val=""/>
      <w:lvlJc w:val="left"/>
    </w:lvl>
    <w:lvl w:ilvl="4" w:tplc="01AA31B4">
      <w:numFmt w:val="decimal"/>
      <w:lvlText w:val=""/>
      <w:lvlJc w:val="left"/>
    </w:lvl>
    <w:lvl w:ilvl="5" w:tplc="3EF81BC8">
      <w:numFmt w:val="decimal"/>
      <w:lvlText w:val=""/>
      <w:lvlJc w:val="left"/>
    </w:lvl>
    <w:lvl w:ilvl="6" w:tplc="20E8CCD6">
      <w:numFmt w:val="decimal"/>
      <w:lvlText w:val=""/>
      <w:lvlJc w:val="left"/>
    </w:lvl>
    <w:lvl w:ilvl="7" w:tplc="D9C85D7A">
      <w:numFmt w:val="decimal"/>
      <w:lvlText w:val=""/>
      <w:lvlJc w:val="left"/>
    </w:lvl>
    <w:lvl w:ilvl="8" w:tplc="703ACFEA">
      <w:numFmt w:val="decimal"/>
      <w:lvlText w:val=""/>
      <w:lvlJc w:val="left"/>
    </w:lvl>
  </w:abstractNum>
  <w:abstractNum w:abstractNumId="8" w15:restartNumberingAfterBreak="0">
    <w:nsid w:val="3352255A"/>
    <w:multiLevelType w:val="hybridMultilevel"/>
    <w:tmpl w:val="9A80C3CE"/>
    <w:lvl w:ilvl="0" w:tplc="6298D8FC">
      <w:start w:val="6"/>
      <w:numFmt w:val="decimal"/>
      <w:lvlText w:val="%1"/>
      <w:lvlJc w:val="left"/>
    </w:lvl>
    <w:lvl w:ilvl="1" w:tplc="F580C7E0">
      <w:numFmt w:val="decimal"/>
      <w:lvlText w:val=""/>
      <w:lvlJc w:val="left"/>
    </w:lvl>
    <w:lvl w:ilvl="2" w:tplc="87CE672E">
      <w:numFmt w:val="decimal"/>
      <w:lvlText w:val=""/>
      <w:lvlJc w:val="left"/>
    </w:lvl>
    <w:lvl w:ilvl="3" w:tplc="C04E0BC2">
      <w:numFmt w:val="decimal"/>
      <w:lvlText w:val=""/>
      <w:lvlJc w:val="left"/>
    </w:lvl>
    <w:lvl w:ilvl="4" w:tplc="5F1ADA06">
      <w:numFmt w:val="decimal"/>
      <w:lvlText w:val=""/>
      <w:lvlJc w:val="left"/>
    </w:lvl>
    <w:lvl w:ilvl="5" w:tplc="C56AE766">
      <w:numFmt w:val="decimal"/>
      <w:lvlText w:val=""/>
      <w:lvlJc w:val="left"/>
    </w:lvl>
    <w:lvl w:ilvl="6" w:tplc="DECCE854">
      <w:numFmt w:val="decimal"/>
      <w:lvlText w:val=""/>
      <w:lvlJc w:val="left"/>
    </w:lvl>
    <w:lvl w:ilvl="7" w:tplc="A4EEDAE4">
      <w:numFmt w:val="decimal"/>
      <w:lvlText w:val=""/>
      <w:lvlJc w:val="left"/>
    </w:lvl>
    <w:lvl w:ilvl="8" w:tplc="F0F462FE">
      <w:numFmt w:val="decimal"/>
      <w:lvlText w:val=""/>
      <w:lvlJc w:val="left"/>
    </w:lvl>
  </w:abstractNum>
  <w:abstractNum w:abstractNumId="9" w15:restartNumberingAfterBreak="0">
    <w:nsid w:val="4DB127F8"/>
    <w:multiLevelType w:val="hybridMultilevel"/>
    <w:tmpl w:val="DED2E306"/>
    <w:lvl w:ilvl="0" w:tplc="DE0886B6">
      <w:start w:val="5"/>
      <w:numFmt w:val="lowerRoman"/>
      <w:lvlText w:val="%1"/>
      <w:lvlJc w:val="left"/>
    </w:lvl>
    <w:lvl w:ilvl="1" w:tplc="58087E56">
      <w:numFmt w:val="decimal"/>
      <w:lvlText w:val=""/>
      <w:lvlJc w:val="left"/>
    </w:lvl>
    <w:lvl w:ilvl="2" w:tplc="16506054">
      <w:numFmt w:val="decimal"/>
      <w:lvlText w:val=""/>
      <w:lvlJc w:val="left"/>
    </w:lvl>
    <w:lvl w:ilvl="3" w:tplc="08969F20">
      <w:numFmt w:val="decimal"/>
      <w:lvlText w:val=""/>
      <w:lvlJc w:val="left"/>
    </w:lvl>
    <w:lvl w:ilvl="4" w:tplc="3B8E4394">
      <w:numFmt w:val="decimal"/>
      <w:lvlText w:val=""/>
      <w:lvlJc w:val="left"/>
    </w:lvl>
    <w:lvl w:ilvl="5" w:tplc="E2B6E86C">
      <w:numFmt w:val="decimal"/>
      <w:lvlText w:val=""/>
      <w:lvlJc w:val="left"/>
    </w:lvl>
    <w:lvl w:ilvl="6" w:tplc="0870FB36">
      <w:numFmt w:val="decimal"/>
      <w:lvlText w:val=""/>
      <w:lvlJc w:val="left"/>
    </w:lvl>
    <w:lvl w:ilvl="7" w:tplc="08841D00">
      <w:numFmt w:val="decimal"/>
      <w:lvlText w:val=""/>
      <w:lvlJc w:val="left"/>
    </w:lvl>
    <w:lvl w:ilvl="8" w:tplc="0F0EE00A">
      <w:numFmt w:val="decimal"/>
      <w:lvlText w:val=""/>
      <w:lvlJc w:val="left"/>
    </w:lvl>
  </w:abstractNum>
  <w:abstractNum w:abstractNumId="10" w15:restartNumberingAfterBreak="0">
    <w:nsid w:val="515F007C"/>
    <w:multiLevelType w:val="hybridMultilevel"/>
    <w:tmpl w:val="523EA9B2"/>
    <w:lvl w:ilvl="0" w:tplc="A48C3914">
      <w:start w:val="1"/>
      <w:numFmt w:val="bullet"/>
      <w:lvlText w:val="§"/>
      <w:lvlJc w:val="left"/>
    </w:lvl>
    <w:lvl w:ilvl="1" w:tplc="2A103146">
      <w:numFmt w:val="decimal"/>
      <w:lvlText w:val=""/>
      <w:lvlJc w:val="left"/>
    </w:lvl>
    <w:lvl w:ilvl="2" w:tplc="8FB4713C">
      <w:numFmt w:val="decimal"/>
      <w:lvlText w:val=""/>
      <w:lvlJc w:val="left"/>
    </w:lvl>
    <w:lvl w:ilvl="3" w:tplc="9D9CF3CE">
      <w:numFmt w:val="decimal"/>
      <w:lvlText w:val=""/>
      <w:lvlJc w:val="left"/>
    </w:lvl>
    <w:lvl w:ilvl="4" w:tplc="C26E827C">
      <w:numFmt w:val="decimal"/>
      <w:lvlText w:val=""/>
      <w:lvlJc w:val="left"/>
    </w:lvl>
    <w:lvl w:ilvl="5" w:tplc="587E5EB8">
      <w:numFmt w:val="decimal"/>
      <w:lvlText w:val=""/>
      <w:lvlJc w:val="left"/>
    </w:lvl>
    <w:lvl w:ilvl="6" w:tplc="2C063E30">
      <w:numFmt w:val="decimal"/>
      <w:lvlText w:val=""/>
      <w:lvlJc w:val="left"/>
    </w:lvl>
    <w:lvl w:ilvl="7" w:tplc="1804CAE8">
      <w:numFmt w:val="decimal"/>
      <w:lvlText w:val=""/>
      <w:lvlJc w:val="left"/>
    </w:lvl>
    <w:lvl w:ilvl="8" w:tplc="BB3696C6">
      <w:numFmt w:val="decimal"/>
      <w:lvlText w:val=""/>
      <w:lvlJc w:val="left"/>
    </w:lvl>
  </w:abstractNum>
  <w:abstractNum w:abstractNumId="11" w15:restartNumberingAfterBreak="0">
    <w:nsid w:val="5BD062C2"/>
    <w:multiLevelType w:val="hybridMultilevel"/>
    <w:tmpl w:val="D94CE870"/>
    <w:lvl w:ilvl="0" w:tplc="D4B84E62">
      <w:start w:val="1"/>
      <w:numFmt w:val="bullet"/>
      <w:lvlText w:val="§"/>
      <w:lvlJc w:val="left"/>
    </w:lvl>
    <w:lvl w:ilvl="1" w:tplc="8BD2A200">
      <w:numFmt w:val="decimal"/>
      <w:lvlText w:val=""/>
      <w:lvlJc w:val="left"/>
    </w:lvl>
    <w:lvl w:ilvl="2" w:tplc="85ACC192">
      <w:numFmt w:val="decimal"/>
      <w:lvlText w:val=""/>
      <w:lvlJc w:val="left"/>
    </w:lvl>
    <w:lvl w:ilvl="3" w:tplc="77485FC6">
      <w:numFmt w:val="decimal"/>
      <w:lvlText w:val=""/>
      <w:lvlJc w:val="left"/>
    </w:lvl>
    <w:lvl w:ilvl="4" w:tplc="9BB297DE">
      <w:numFmt w:val="decimal"/>
      <w:lvlText w:val=""/>
      <w:lvlJc w:val="left"/>
    </w:lvl>
    <w:lvl w:ilvl="5" w:tplc="C1487654">
      <w:numFmt w:val="decimal"/>
      <w:lvlText w:val=""/>
      <w:lvlJc w:val="left"/>
    </w:lvl>
    <w:lvl w:ilvl="6" w:tplc="DB4C8464">
      <w:numFmt w:val="decimal"/>
      <w:lvlText w:val=""/>
      <w:lvlJc w:val="left"/>
    </w:lvl>
    <w:lvl w:ilvl="7" w:tplc="86366762">
      <w:numFmt w:val="decimal"/>
      <w:lvlText w:val=""/>
      <w:lvlJc w:val="left"/>
    </w:lvl>
    <w:lvl w:ilvl="8" w:tplc="76288228">
      <w:numFmt w:val="decimal"/>
      <w:lvlText w:val=""/>
      <w:lvlJc w:val="left"/>
    </w:lvl>
  </w:abstractNum>
  <w:abstractNum w:abstractNumId="12" w15:restartNumberingAfterBreak="0">
    <w:nsid w:val="66EF438D"/>
    <w:multiLevelType w:val="hybridMultilevel"/>
    <w:tmpl w:val="D7BE34E4"/>
    <w:lvl w:ilvl="0" w:tplc="9D461694">
      <w:start w:val="5"/>
      <w:numFmt w:val="decimal"/>
      <w:lvlText w:val="%1"/>
      <w:lvlJc w:val="left"/>
    </w:lvl>
    <w:lvl w:ilvl="1" w:tplc="8AB00490">
      <w:numFmt w:val="decimal"/>
      <w:lvlText w:val=""/>
      <w:lvlJc w:val="left"/>
    </w:lvl>
    <w:lvl w:ilvl="2" w:tplc="7D00E86C">
      <w:numFmt w:val="decimal"/>
      <w:lvlText w:val=""/>
      <w:lvlJc w:val="left"/>
    </w:lvl>
    <w:lvl w:ilvl="3" w:tplc="FB32386E">
      <w:numFmt w:val="decimal"/>
      <w:lvlText w:val=""/>
      <w:lvlJc w:val="left"/>
    </w:lvl>
    <w:lvl w:ilvl="4" w:tplc="47A4C6C4">
      <w:numFmt w:val="decimal"/>
      <w:lvlText w:val=""/>
      <w:lvlJc w:val="left"/>
    </w:lvl>
    <w:lvl w:ilvl="5" w:tplc="DEAAE1FC">
      <w:numFmt w:val="decimal"/>
      <w:lvlText w:val=""/>
      <w:lvlJc w:val="left"/>
    </w:lvl>
    <w:lvl w:ilvl="6" w:tplc="23B0A01C">
      <w:numFmt w:val="decimal"/>
      <w:lvlText w:val=""/>
      <w:lvlJc w:val="left"/>
    </w:lvl>
    <w:lvl w:ilvl="7" w:tplc="FD788B54">
      <w:numFmt w:val="decimal"/>
      <w:lvlText w:val=""/>
      <w:lvlJc w:val="left"/>
    </w:lvl>
    <w:lvl w:ilvl="8" w:tplc="9C0AA534">
      <w:numFmt w:val="decimal"/>
      <w:lvlText w:val=""/>
      <w:lvlJc w:val="left"/>
    </w:lvl>
  </w:abstractNum>
  <w:abstractNum w:abstractNumId="13" w15:restartNumberingAfterBreak="0">
    <w:nsid w:val="7545E146"/>
    <w:multiLevelType w:val="hybridMultilevel"/>
    <w:tmpl w:val="CB8C5054"/>
    <w:lvl w:ilvl="0" w:tplc="0FEADB38">
      <w:start w:val="1"/>
      <w:numFmt w:val="decimal"/>
      <w:lvlText w:val="%1."/>
      <w:lvlJc w:val="left"/>
    </w:lvl>
    <w:lvl w:ilvl="1" w:tplc="880464FE">
      <w:numFmt w:val="decimal"/>
      <w:lvlText w:val=""/>
      <w:lvlJc w:val="left"/>
    </w:lvl>
    <w:lvl w:ilvl="2" w:tplc="BA6AF792">
      <w:numFmt w:val="decimal"/>
      <w:lvlText w:val=""/>
      <w:lvlJc w:val="left"/>
    </w:lvl>
    <w:lvl w:ilvl="3" w:tplc="548873B6">
      <w:numFmt w:val="decimal"/>
      <w:lvlText w:val=""/>
      <w:lvlJc w:val="left"/>
    </w:lvl>
    <w:lvl w:ilvl="4" w:tplc="74740A5A">
      <w:numFmt w:val="decimal"/>
      <w:lvlText w:val=""/>
      <w:lvlJc w:val="left"/>
    </w:lvl>
    <w:lvl w:ilvl="5" w:tplc="689C7EAE">
      <w:numFmt w:val="decimal"/>
      <w:lvlText w:val=""/>
      <w:lvlJc w:val="left"/>
    </w:lvl>
    <w:lvl w:ilvl="6" w:tplc="67385F3C">
      <w:numFmt w:val="decimal"/>
      <w:lvlText w:val=""/>
      <w:lvlJc w:val="left"/>
    </w:lvl>
    <w:lvl w:ilvl="7" w:tplc="F5B25D6E">
      <w:numFmt w:val="decimal"/>
      <w:lvlText w:val=""/>
      <w:lvlJc w:val="left"/>
    </w:lvl>
    <w:lvl w:ilvl="8" w:tplc="D728CBA0">
      <w:numFmt w:val="decimal"/>
      <w:lvlText w:val=""/>
      <w:lvlJc w:val="left"/>
    </w:lvl>
  </w:abstractNum>
  <w:abstractNum w:abstractNumId="14" w15:restartNumberingAfterBreak="0">
    <w:nsid w:val="7FDCC233"/>
    <w:multiLevelType w:val="hybridMultilevel"/>
    <w:tmpl w:val="0368E438"/>
    <w:lvl w:ilvl="0" w:tplc="BD7CCF68">
      <w:start w:val="1"/>
      <w:numFmt w:val="bullet"/>
      <w:lvlText w:val="§"/>
      <w:lvlJc w:val="left"/>
    </w:lvl>
    <w:lvl w:ilvl="1" w:tplc="426ED1CE">
      <w:numFmt w:val="decimal"/>
      <w:lvlText w:val=""/>
      <w:lvlJc w:val="left"/>
    </w:lvl>
    <w:lvl w:ilvl="2" w:tplc="5CB624A0">
      <w:numFmt w:val="decimal"/>
      <w:lvlText w:val=""/>
      <w:lvlJc w:val="left"/>
    </w:lvl>
    <w:lvl w:ilvl="3" w:tplc="93F6AE20">
      <w:numFmt w:val="decimal"/>
      <w:lvlText w:val=""/>
      <w:lvlJc w:val="left"/>
    </w:lvl>
    <w:lvl w:ilvl="4" w:tplc="76727028">
      <w:numFmt w:val="decimal"/>
      <w:lvlText w:val=""/>
      <w:lvlJc w:val="left"/>
    </w:lvl>
    <w:lvl w:ilvl="5" w:tplc="4CD60F80">
      <w:numFmt w:val="decimal"/>
      <w:lvlText w:val=""/>
      <w:lvlJc w:val="left"/>
    </w:lvl>
    <w:lvl w:ilvl="6" w:tplc="0BCA8064">
      <w:numFmt w:val="decimal"/>
      <w:lvlText w:val=""/>
      <w:lvlJc w:val="left"/>
    </w:lvl>
    <w:lvl w:ilvl="7" w:tplc="FBC8C61A">
      <w:numFmt w:val="decimal"/>
      <w:lvlText w:val=""/>
      <w:lvlJc w:val="left"/>
    </w:lvl>
    <w:lvl w:ilvl="8" w:tplc="915E5292">
      <w:numFmt w:val="decimal"/>
      <w:lvlText w:val=""/>
      <w:lvlJc w:val="left"/>
    </w:lvl>
  </w:abstractNum>
  <w:num w:numId="1">
    <w:abstractNumId w:val="13"/>
  </w:num>
  <w:num w:numId="2">
    <w:abstractNumId w:val="10"/>
  </w:num>
  <w:num w:numId="3">
    <w:abstractNumId w:val="11"/>
  </w:num>
  <w:num w:numId="4">
    <w:abstractNumId w:val="4"/>
  </w:num>
  <w:num w:numId="5">
    <w:abstractNumId w:val="9"/>
  </w:num>
  <w:num w:numId="6">
    <w:abstractNumId w:val="0"/>
  </w:num>
  <w:num w:numId="7">
    <w:abstractNumId w:val="7"/>
  </w:num>
  <w:num w:numId="8">
    <w:abstractNumId w:val="3"/>
  </w:num>
  <w:num w:numId="9">
    <w:abstractNumId w:val="12"/>
  </w:num>
  <w:num w:numId="10">
    <w:abstractNumId w:val="5"/>
  </w:num>
  <w:num w:numId="11">
    <w:abstractNumId w:val="8"/>
  </w:num>
  <w:num w:numId="12">
    <w:abstractNumId w:val="2"/>
  </w:num>
  <w:num w:numId="13">
    <w:abstractNumId w:val="1"/>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5AD"/>
    <w:rsid w:val="004E6F0B"/>
    <w:rsid w:val="00614C5D"/>
    <w:rsid w:val="007445AD"/>
    <w:rsid w:val="008B4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A674F-76D2-4784-B35C-7B7FF54F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Tabukasmriekou5tmavzvraznenie4">
    <w:name w:val="Grid Table 5 Dark Accent 4"/>
    <w:basedOn w:val="Normlnatabuka"/>
    <w:uiPriority w:val="50"/>
    <w:rsid w:val="008B416C"/>
    <w:rPr>
      <w:rFonts w:asciiTheme="minorHAnsi" w:eastAsiaTheme="minorHAnsi" w:hAnsi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5464</Words>
  <Characters>31148</Characters>
  <Application>Microsoft Office Word</Application>
  <DocSecurity>0</DocSecurity>
  <Lines>259</Lines>
  <Paragraphs>73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Peter Adam</cp:lastModifiedBy>
  <cp:revision>3</cp:revision>
  <dcterms:created xsi:type="dcterms:W3CDTF">2020-10-28T10:33:00Z</dcterms:created>
  <dcterms:modified xsi:type="dcterms:W3CDTF">2020-10-28T10:35:00Z</dcterms:modified>
</cp:coreProperties>
</file>