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FD" w:rsidRDefault="00300B11">
      <w:pPr>
        <w:spacing w:after="157" w:line="259" w:lineRule="auto"/>
        <w:ind w:left="208" w:right="0" w:firstLine="0"/>
        <w:jc w:val="center"/>
      </w:pPr>
      <w:r>
        <w:rPr>
          <w:b/>
          <w:i w:val="0"/>
          <w:sz w:val="28"/>
        </w:rPr>
        <w:t xml:space="preserve"> </w:t>
      </w:r>
    </w:p>
    <w:tbl>
      <w:tblPr>
        <w:tblStyle w:val="Tabukasmriekou5tmavzvraznenie4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E11FA" w:rsidRPr="00CE11FA" w:rsidTr="00B10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E11FA" w:rsidRPr="00CE11FA" w:rsidRDefault="00CE11FA" w:rsidP="00CE11FA">
            <w:pPr>
              <w:suppressAutoHyphens/>
              <w:spacing w:after="200" w:line="276" w:lineRule="auto"/>
              <w:ind w:left="0" w:right="0" w:firstLine="0"/>
              <w:jc w:val="left"/>
              <w:rPr>
                <w:color w:val="FFFFFF" w:themeColor="background1"/>
                <w:sz w:val="20"/>
                <w:szCs w:val="20"/>
              </w:rPr>
            </w:pPr>
            <w:r w:rsidRPr="00CE11FA">
              <w:rPr>
                <w:color w:val="FFFFFF" w:themeColor="background1"/>
                <w:sz w:val="20"/>
                <w:szCs w:val="20"/>
              </w:rPr>
              <w:t>Projekt:</w:t>
            </w:r>
          </w:p>
        </w:tc>
        <w:tc>
          <w:tcPr>
            <w:tcW w:w="6799" w:type="dxa"/>
          </w:tcPr>
          <w:p w:rsidR="00CE11FA" w:rsidRPr="00CE11FA" w:rsidRDefault="00CE11FA" w:rsidP="00CE11FA">
            <w:pPr>
              <w:suppressAutoHyphens/>
              <w:spacing w:after="200" w:line="276" w:lineRule="auto"/>
              <w:ind w:left="0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CE11FA">
              <w:rPr>
                <w:color w:val="FFFFFF" w:themeColor="background1"/>
                <w:sz w:val="20"/>
                <w:szCs w:val="20"/>
              </w:rPr>
              <w:t>Lepšie verejné politiky pre marginalizované rómske komunity</w:t>
            </w:r>
          </w:p>
        </w:tc>
      </w:tr>
      <w:tr w:rsidR="00CE11FA" w:rsidRPr="00CE11FA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E11FA" w:rsidRPr="00CE11FA" w:rsidRDefault="00CE11FA" w:rsidP="00CE11FA">
            <w:pPr>
              <w:suppressAutoHyphens/>
              <w:spacing w:after="200" w:line="276" w:lineRule="auto"/>
              <w:ind w:left="0" w:right="0" w:firstLine="0"/>
              <w:jc w:val="left"/>
              <w:rPr>
                <w:color w:val="FFFFFF" w:themeColor="background1"/>
                <w:sz w:val="20"/>
                <w:szCs w:val="20"/>
              </w:rPr>
            </w:pPr>
            <w:r w:rsidRPr="00CE11FA">
              <w:rPr>
                <w:color w:val="FFFFFF" w:themeColor="background1"/>
                <w:sz w:val="20"/>
                <w:szCs w:val="20"/>
              </w:rPr>
              <w:t>Organizácia:</w:t>
            </w:r>
          </w:p>
        </w:tc>
        <w:tc>
          <w:tcPr>
            <w:tcW w:w="6799" w:type="dxa"/>
          </w:tcPr>
          <w:p w:rsidR="00CE11FA" w:rsidRPr="00CE11FA" w:rsidRDefault="00CE11FA" w:rsidP="00CE11FA">
            <w:pPr>
              <w:suppressAutoHyphens/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E11FA">
              <w:rPr>
                <w:color w:val="auto"/>
                <w:sz w:val="20"/>
                <w:szCs w:val="20"/>
              </w:rPr>
              <w:t>Človek v ohrození, n. o.</w:t>
            </w:r>
          </w:p>
        </w:tc>
      </w:tr>
      <w:tr w:rsidR="00CE11FA" w:rsidRPr="00CE11FA" w:rsidTr="00B10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E11FA" w:rsidRPr="00CE11FA" w:rsidRDefault="00CE11FA" w:rsidP="00CE11FA">
            <w:pPr>
              <w:suppressAutoHyphens/>
              <w:spacing w:after="200" w:line="276" w:lineRule="auto"/>
              <w:ind w:left="0" w:right="0" w:firstLine="0"/>
              <w:jc w:val="left"/>
              <w:rPr>
                <w:color w:val="FFFFFF" w:themeColor="background1"/>
                <w:sz w:val="20"/>
                <w:szCs w:val="20"/>
              </w:rPr>
            </w:pPr>
            <w:r w:rsidRPr="00CE11FA">
              <w:rPr>
                <w:color w:val="FFFFFF" w:themeColor="background1"/>
                <w:sz w:val="20"/>
                <w:szCs w:val="20"/>
              </w:rPr>
              <w:t>Operačný program:</w:t>
            </w:r>
          </w:p>
        </w:tc>
        <w:tc>
          <w:tcPr>
            <w:tcW w:w="6799" w:type="dxa"/>
          </w:tcPr>
          <w:p w:rsidR="00CE11FA" w:rsidRPr="00CE11FA" w:rsidRDefault="00CE11FA" w:rsidP="00CE11FA">
            <w:pPr>
              <w:suppressAutoHyphens/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E11FA">
              <w:rPr>
                <w:color w:val="auto"/>
                <w:sz w:val="20"/>
                <w:szCs w:val="20"/>
              </w:rPr>
              <w:t>Efektívna verejná správa</w:t>
            </w:r>
          </w:p>
        </w:tc>
      </w:tr>
      <w:tr w:rsidR="00CE11FA" w:rsidRPr="00CE11FA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E11FA" w:rsidRPr="00CE11FA" w:rsidRDefault="00CE11FA" w:rsidP="00CE11FA">
            <w:pPr>
              <w:suppressAutoHyphens/>
              <w:spacing w:after="200" w:line="276" w:lineRule="auto"/>
              <w:ind w:left="0" w:right="0" w:firstLine="0"/>
              <w:jc w:val="left"/>
              <w:rPr>
                <w:color w:val="FFFFFF" w:themeColor="background1"/>
                <w:sz w:val="20"/>
                <w:szCs w:val="20"/>
              </w:rPr>
            </w:pPr>
            <w:r w:rsidRPr="00CE11FA">
              <w:rPr>
                <w:color w:val="FFFFFF" w:themeColor="background1"/>
                <w:sz w:val="20"/>
                <w:szCs w:val="20"/>
              </w:rPr>
              <w:t>Kód žiadosti o NFP:</w:t>
            </w:r>
          </w:p>
        </w:tc>
        <w:tc>
          <w:tcPr>
            <w:tcW w:w="6799" w:type="dxa"/>
          </w:tcPr>
          <w:p w:rsidR="00CE11FA" w:rsidRPr="00CE11FA" w:rsidRDefault="00CE11FA" w:rsidP="00CE11FA">
            <w:pPr>
              <w:suppressAutoHyphens/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E11FA">
              <w:rPr>
                <w:color w:val="auto"/>
                <w:sz w:val="20"/>
                <w:szCs w:val="20"/>
              </w:rPr>
              <w:t>NFP314011L915</w:t>
            </w:r>
          </w:p>
        </w:tc>
      </w:tr>
      <w:tr w:rsidR="00CE11FA" w:rsidRPr="00CE11FA" w:rsidTr="00B10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E11FA" w:rsidRPr="00CE11FA" w:rsidRDefault="00CE11FA" w:rsidP="00CE11FA">
            <w:pPr>
              <w:suppressAutoHyphens/>
              <w:spacing w:after="200" w:line="276" w:lineRule="auto"/>
              <w:ind w:left="0" w:right="0" w:firstLine="0"/>
              <w:jc w:val="left"/>
              <w:rPr>
                <w:color w:val="FFFFFF" w:themeColor="background1"/>
                <w:sz w:val="20"/>
                <w:szCs w:val="20"/>
              </w:rPr>
            </w:pPr>
            <w:r w:rsidRPr="00CE11FA">
              <w:rPr>
                <w:color w:val="FFFFFF" w:themeColor="background1"/>
                <w:sz w:val="20"/>
                <w:szCs w:val="20"/>
              </w:rPr>
              <w:t>Názov aktivity:</w:t>
            </w:r>
          </w:p>
        </w:tc>
        <w:tc>
          <w:tcPr>
            <w:tcW w:w="6799" w:type="dxa"/>
          </w:tcPr>
          <w:p w:rsidR="00CE11FA" w:rsidRPr="00CE11FA" w:rsidRDefault="00CE11FA" w:rsidP="00CE11FA">
            <w:pPr>
              <w:suppressAutoHyphens/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E11FA">
              <w:rPr>
                <w:color w:val="auto"/>
                <w:sz w:val="20"/>
                <w:szCs w:val="20"/>
              </w:rPr>
              <w:t>Hlavná aktivita č. 2, Skvalitňovanie aktívnych politík trhu práce pre MRK</w:t>
            </w:r>
          </w:p>
        </w:tc>
      </w:tr>
      <w:tr w:rsidR="00CE11FA" w:rsidRPr="00CE11FA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E11FA" w:rsidRPr="00CE11FA" w:rsidRDefault="00CE11FA" w:rsidP="00CE11FA">
            <w:pPr>
              <w:suppressAutoHyphens/>
              <w:spacing w:after="200" w:line="276" w:lineRule="auto"/>
              <w:ind w:left="0" w:right="0" w:firstLine="0"/>
              <w:jc w:val="left"/>
              <w:rPr>
                <w:color w:val="FFFFFF" w:themeColor="background1"/>
                <w:sz w:val="20"/>
                <w:szCs w:val="20"/>
              </w:rPr>
            </w:pPr>
            <w:r w:rsidRPr="00CE11FA">
              <w:rPr>
                <w:color w:val="FFFFFF" w:themeColor="background1"/>
                <w:sz w:val="20"/>
                <w:szCs w:val="20"/>
              </w:rPr>
              <w:t>Názov výstupu:</w:t>
            </w:r>
          </w:p>
        </w:tc>
        <w:tc>
          <w:tcPr>
            <w:tcW w:w="6799" w:type="dxa"/>
          </w:tcPr>
          <w:p w:rsidR="00CE11FA" w:rsidRPr="00CE11FA" w:rsidRDefault="00CE11FA" w:rsidP="00CE11FA">
            <w:pPr>
              <w:suppressAutoHyphens/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Právna analýza</w:t>
            </w:r>
          </w:p>
        </w:tc>
      </w:tr>
      <w:tr w:rsidR="00CE11FA" w:rsidRPr="00CE11FA" w:rsidTr="00B10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E11FA" w:rsidRPr="00CE11FA" w:rsidRDefault="00CE11FA" w:rsidP="00CE11FA">
            <w:pPr>
              <w:suppressAutoHyphens/>
              <w:spacing w:after="200" w:line="276" w:lineRule="auto"/>
              <w:ind w:left="0" w:right="0" w:firstLine="0"/>
              <w:jc w:val="left"/>
              <w:rPr>
                <w:color w:val="FFFFFF" w:themeColor="background1"/>
                <w:sz w:val="20"/>
                <w:szCs w:val="20"/>
              </w:rPr>
            </w:pPr>
            <w:r w:rsidRPr="00CE11FA">
              <w:rPr>
                <w:color w:val="FFFFFF" w:themeColor="background1"/>
                <w:sz w:val="20"/>
                <w:szCs w:val="20"/>
              </w:rPr>
              <w:t>Názov opatrenia:</w:t>
            </w:r>
          </w:p>
        </w:tc>
        <w:tc>
          <w:tcPr>
            <w:tcW w:w="6799" w:type="dxa"/>
          </w:tcPr>
          <w:p w:rsidR="00CE11FA" w:rsidRPr="00CE11FA" w:rsidRDefault="00CE11FA" w:rsidP="00CE11FA">
            <w:pPr>
              <w:suppressAutoHyphens/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E11FA">
              <w:rPr>
                <w:color w:val="auto"/>
                <w:sz w:val="20"/>
                <w:szCs w:val="20"/>
              </w:rPr>
              <w:t xml:space="preserve">Nárok na pomoc v hmotnej núdzi s ohľadom na aktívnu participáciu osôb na zabezpečovaní ich základných životných potrieb  </w:t>
            </w:r>
          </w:p>
        </w:tc>
      </w:tr>
      <w:tr w:rsidR="00CE11FA" w:rsidRPr="00CE11FA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E11FA" w:rsidRPr="00CE11FA" w:rsidRDefault="00CE11FA" w:rsidP="00CE11FA">
            <w:pPr>
              <w:suppressAutoHyphens/>
              <w:spacing w:after="200" w:line="276" w:lineRule="auto"/>
              <w:ind w:left="0" w:right="0" w:firstLine="0"/>
              <w:jc w:val="left"/>
              <w:rPr>
                <w:color w:val="FFFFFF" w:themeColor="background1"/>
                <w:sz w:val="20"/>
                <w:szCs w:val="20"/>
              </w:rPr>
            </w:pPr>
            <w:r w:rsidRPr="00CE11FA">
              <w:rPr>
                <w:color w:val="FFFFFF" w:themeColor="background1"/>
                <w:sz w:val="20"/>
                <w:szCs w:val="20"/>
              </w:rPr>
              <w:t>Subjekt, ktorému sa návrh opatrenia predkladá:</w:t>
            </w:r>
          </w:p>
        </w:tc>
        <w:tc>
          <w:tcPr>
            <w:tcW w:w="6799" w:type="dxa"/>
          </w:tcPr>
          <w:p w:rsidR="00CE11FA" w:rsidRPr="00CE11FA" w:rsidRDefault="00CE11FA" w:rsidP="00CE11FA">
            <w:pPr>
              <w:suppressAutoHyphens/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Ministerstvo práce, sociálnych vecí a rodiny SR</w:t>
            </w:r>
            <w:bookmarkStart w:id="0" w:name="_GoBack"/>
            <w:bookmarkEnd w:id="0"/>
          </w:p>
        </w:tc>
      </w:tr>
    </w:tbl>
    <w:p w:rsidR="00B32DFD" w:rsidRDefault="00300B11" w:rsidP="00CE11FA">
      <w:pPr>
        <w:spacing w:after="155" w:line="259" w:lineRule="auto"/>
        <w:ind w:left="208" w:right="0" w:firstLine="0"/>
        <w:jc w:val="center"/>
      </w:pPr>
      <w:r>
        <w:rPr>
          <w:b/>
          <w:i w:val="0"/>
          <w:sz w:val="28"/>
        </w:rPr>
        <w:t xml:space="preserve"> </w:t>
      </w:r>
      <w:r>
        <w:rPr>
          <w:b/>
          <w:i w:val="0"/>
          <w:sz w:val="28"/>
        </w:rPr>
        <w:t xml:space="preserve"> </w:t>
      </w:r>
    </w:p>
    <w:p w:rsidR="00B32DFD" w:rsidRDefault="00300B11">
      <w:pPr>
        <w:spacing w:after="209" w:line="259" w:lineRule="auto"/>
        <w:ind w:left="144" w:right="0"/>
        <w:jc w:val="center"/>
      </w:pPr>
      <w:r>
        <w:rPr>
          <w:b/>
          <w:i w:val="0"/>
          <w:sz w:val="28"/>
        </w:rPr>
        <w:t xml:space="preserve">Právna analýza </w:t>
      </w:r>
    </w:p>
    <w:p w:rsidR="00B32DFD" w:rsidRDefault="00300B11">
      <w:pPr>
        <w:spacing w:after="209" w:line="259" w:lineRule="auto"/>
        <w:ind w:left="144" w:right="26"/>
        <w:jc w:val="center"/>
      </w:pPr>
      <w:r>
        <w:rPr>
          <w:b/>
          <w:i w:val="0"/>
          <w:sz w:val="28"/>
        </w:rPr>
        <w:t xml:space="preserve">Nárok na pomoc v hmotnej núdzi s ohľadom na aktívnu participáciu osôb na zabezpečovaní ich základných životných potrieb  </w:t>
      </w:r>
    </w:p>
    <w:p w:rsidR="00B32DFD" w:rsidRDefault="00300B11">
      <w:pPr>
        <w:spacing w:after="118" w:line="289" w:lineRule="auto"/>
        <w:ind w:left="444" w:right="239" w:firstLine="0"/>
        <w:jc w:val="center"/>
      </w:pPr>
      <w:r>
        <w:rPr>
          <w:sz w:val="28"/>
        </w:rPr>
        <w:t xml:space="preserve">Úvaha de </w:t>
      </w:r>
      <w:proofErr w:type="spellStart"/>
      <w:r>
        <w:rPr>
          <w:sz w:val="28"/>
        </w:rPr>
        <w:t>lege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ferenda</w:t>
      </w:r>
      <w:proofErr w:type="spellEnd"/>
      <w:r>
        <w:rPr>
          <w:sz w:val="28"/>
        </w:rPr>
        <w:t xml:space="preserve"> k </w:t>
      </w:r>
      <w:r>
        <w:rPr>
          <w:sz w:val="28"/>
        </w:rPr>
        <w:t xml:space="preserve">primeranosti právneho účinku vzniku pracovného pomeru na kratší čas člena domácnosti posudzovanej pri nároku na dávku v hmotnej núdzi </w:t>
      </w:r>
    </w:p>
    <w:p w:rsidR="00B32DFD" w:rsidRDefault="00300B11">
      <w:pPr>
        <w:spacing w:after="155" w:line="259" w:lineRule="auto"/>
        <w:ind w:left="208" w:right="0" w:firstLine="0"/>
        <w:jc w:val="center"/>
      </w:pPr>
      <w:r>
        <w:rPr>
          <w:sz w:val="28"/>
        </w:rPr>
        <w:t xml:space="preserve"> </w:t>
      </w:r>
    </w:p>
    <w:p w:rsidR="00B32DFD" w:rsidRDefault="00300B11">
      <w:pPr>
        <w:spacing w:after="155" w:line="259" w:lineRule="auto"/>
        <w:ind w:left="208" w:right="0" w:firstLine="0"/>
        <w:jc w:val="center"/>
      </w:pPr>
      <w:r>
        <w:rPr>
          <w:sz w:val="28"/>
        </w:rPr>
        <w:t xml:space="preserve"> </w:t>
      </w:r>
    </w:p>
    <w:p w:rsidR="00B32DFD" w:rsidRDefault="00300B11">
      <w:pPr>
        <w:spacing w:after="157" w:line="259" w:lineRule="auto"/>
        <w:ind w:left="208" w:right="0" w:firstLine="0"/>
        <w:jc w:val="center"/>
      </w:pPr>
      <w:r>
        <w:rPr>
          <w:sz w:val="28"/>
        </w:rPr>
        <w:t xml:space="preserve"> </w:t>
      </w:r>
    </w:p>
    <w:p w:rsidR="00B32DFD" w:rsidRDefault="00300B11">
      <w:pPr>
        <w:spacing w:after="155" w:line="259" w:lineRule="auto"/>
        <w:ind w:left="208" w:right="0" w:firstLine="0"/>
        <w:jc w:val="center"/>
      </w:pPr>
      <w:r>
        <w:rPr>
          <w:sz w:val="28"/>
        </w:rPr>
        <w:t xml:space="preserve"> </w:t>
      </w:r>
    </w:p>
    <w:p w:rsidR="00B32DFD" w:rsidRDefault="00300B11">
      <w:pPr>
        <w:spacing w:after="157" w:line="259" w:lineRule="auto"/>
        <w:ind w:left="142" w:right="0" w:firstLine="0"/>
        <w:jc w:val="left"/>
      </w:pPr>
      <w:r>
        <w:rPr>
          <w:i w:val="0"/>
          <w:sz w:val="28"/>
        </w:rPr>
        <w:t xml:space="preserve"> </w:t>
      </w:r>
    </w:p>
    <w:p w:rsidR="00B32DFD" w:rsidRDefault="00300B11">
      <w:pPr>
        <w:spacing w:after="155" w:line="259" w:lineRule="auto"/>
        <w:ind w:left="142" w:right="0" w:firstLine="0"/>
        <w:jc w:val="left"/>
      </w:pPr>
      <w:r>
        <w:rPr>
          <w:i w:val="0"/>
          <w:sz w:val="28"/>
        </w:rPr>
        <w:t xml:space="preserve"> </w:t>
      </w:r>
    </w:p>
    <w:p w:rsidR="00B32DFD" w:rsidRDefault="00300B11">
      <w:pPr>
        <w:spacing w:after="158" w:line="259" w:lineRule="auto"/>
        <w:ind w:left="142" w:right="0" w:firstLine="0"/>
        <w:jc w:val="left"/>
      </w:pPr>
      <w:r>
        <w:rPr>
          <w:i w:val="0"/>
          <w:sz w:val="28"/>
        </w:rPr>
        <w:t xml:space="preserve"> </w:t>
      </w:r>
    </w:p>
    <w:p w:rsidR="00B32DFD" w:rsidRDefault="00300B11">
      <w:pPr>
        <w:spacing w:after="155" w:line="259" w:lineRule="auto"/>
        <w:ind w:left="142" w:right="0" w:firstLine="0"/>
        <w:jc w:val="left"/>
      </w:pPr>
      <w:r>
        <w:rPr>
          <w:i w:val="0"/>
          <w:sz w:val="28"/>
        </w:rPr>
        <w:t xml:space="preserve"> </w:t>
      </w:r>
    </w:p>
    <w:p w:rsidR="00B32DFD" w:rsidRDefault="00B32DFD" w:rsidP="00CE11FA">
      <w:pPr>
        <w:spacing w:after="157" w:line="259" w:lineRule="auto"/>
        <w:ind w:left="0" w:right="0" w:firstLine="0"/>
        <w:jc w:val="left"/>
      </w:pPr>
    </w:p>
    <w:p w:rsidR="00B32DFD" w:rsidRDefault="00300B11" w:rsidP="00CE11FA">
      <w:pPr>
        <w:spacing w:after="190" w:line="271" w:lineRule="auto"/>
        <w:ind w:left="137" w:right="0"/>
        <w:jc w:val="center"/>
        <w:rPr>
          <w:i w:val="0"/>
        </w:rPr>
      </w:pPr>
      <w:r>
        <w:rPr>
          <w:i w:val="0"/>
        </w:rPr>
        <w:t xml:space="preserve">Mgr. Milan </w:t>
      </w:r>
      <w:proofErr w:type="spellStart"/>
      <w:r>
        <w:rPr>
          <w:i w:val="0"/>
        </w:rPr>
        <w:t>Grieč</w:t>
      </w:r>
      <w:proofErr w:type="spellEnd"/>
    </w:p>
    <w:p w:rsidR="00CE11FA" w:rsidRDefault="00CE11FA" w:rsidP="00CE11FA">
      <w:pPr>
        <w:spacing w:after="190" w:line="271" w:lineRule="auto"/>
        <w:ind w:left="137" w:right="0"/>
        <w:jc w:val="center"/>
      </w:pPr>
    </w:p>
    <w:p w:rsidR="00B32DFD" w:rsidRDefault="00300B11" w:rsidP="00CE11FA">
      <w:pPr>
        <w:spacing w:after="3" w:line="271" w:lineRule="auto"/>
        <w:ind w:left="1553" w:right="0" w:firstLine="571"/>
      </w:pPr>
      <w:r>
        <w:rPr>
          <w:i w:val="0"/>
        </w:rPr>
        <w:t xml:space="preserve">Prijímateľ právnej analýzy: Človek v ohrození, </w:t>
      </w:r>
      <w:proofErr w:type="spellStart"/>
      <w:r>
        <w:rPr>
          <w:i w:val="0"/>
        </w:rPr>
        <w:t>n.o</w:t>
      </w:r>
      <w:proofErr w:type="spellEnd"/>
      <w:r>
        <w:rPr>
          <w:i w:val="0"/>
        </w:rPr>
        <w:t xml:space="preserve">. </w:t>
      </w:r>
    </w:p>
    <w:p w:rsidR="00B32DFD" w:rsidRDefault="00300B11">
      <w:pPr>
        <w:pStyle w:val="Nadpis1"/>
        <w:spacing w:after="203"/>
        <w:ind w:left="410" w:hanging="283"/>
      </w:pPr>
      <w:r>
        <w:lastRenderedPageBreak/>
        <w:t xml:space="preserve">Východiská analýzy </w:t>
      </w:r>
    </w:p>
    <w:p w:rsidR="00B32DFD" w:rsidRDefault="00300B11">
      <w:pPr>
        <w:spacing w:after="181" w:line="271" w:lineRule="auto"/>
        <w:ind w:left="137" w:right="0"/>
      </w:pPr>
      <w:r>
        <w:rPr>
          <w:i w:val="0"/>
        </w:rPr>
        <w:t>Zo Správ o sociálnej situácii obyvateľstva Slovenskej republiky vypracovaných Ministerstvom práce, sociálnych vecí a rodiny Slovenskej republiky v častiach o pomoci v hmotnej núdzi v spojení s výstupom z projektu prijímateľa tejto analý</w:t>
      </w:r>
      <w:r>
        <w:rPr>
          <w:i w:val="0"/>
        </w:rPr>
        <w:t xml:space="preserve">zy s názvom </w:t>
      </w:r>
      <w:r>
        <w:t xml:space="preserve">Lepšie verejné politiky pre marginalizované rómske komunity </w:t>
      </w:r>
      <w:r>
        <w:rPr>
          <w:i w:val="0"/>
        </w:rPr>
        <w:t>vyplynula potreba skvalitniť systémové podmienky pre začlenenie poberateľov dávok v hmotnej núdzi na trh práce prostredníctvom lepšieho nastavenia existujúcich nástrojov aktívnej polit</w:t>
      </w:r>
      <w:r>
        <w:rPr>
          <w:i w:val="0"/>
        </w:rPr>
        <w:t xml:space="preserve">iky trhu práce a nastavenia podmienok sociálneho systému z dôvodu </w:t>
      </w:r>
      <w:proofErr w:type="spellStart"/>
      <w:r>
        <w:rPr>
          <w:i w:val="0"/>
        </w:rPr>
        <w:t>recentnej</w:t>
      </w:r>
      <w:proofErr w:type="spellEnd"/>
      <w:r>
        <w:rPr>
          <w:i w:val="0"/>
        </w:rPr>
        <w:t xml:space="preserve"> právnej úpravy nároku na dávku s ohľadom na zníženie rozsahu dávky z dôvodu vzniku pracovného pomeru člena domácnosti poberateľa dávky. </w:t>
      </w:r>
    </w:p>
    <w:p w:rsidR="00B32DFD" w:rsidRDefault="00300B11">
      <w:pPr>
        <w:pStyle w:val="Nadpis2"/>
        <w:spacing w:after="198"/>
        <w:ind w:left="693" w:hanging="566"/>
      </w:pPr>
      <w:r>
        <w:t xml:space="preserve">Právny stav </w:t>
      </w:r>
    </w:p>
    <w:p w:rsidR="00B32DFD" w:rsidRDefault="00300B11">
      <w:pPr>
        <w:spacing w:after="174"/>
        <w:ind w:left="137" w:right="-8"/>
      </w:pPr>
      <w:r>
        <w:rPr>
          <w:i w:val="0"/>
        </w:rPr>
        <w:t>Podľa článku 7 ods. 2 Zákon č.</w:t>
      </w:r>
      <w:r>
        <w:rPr>
          <w:i w:val="0"/>
        </w:rPr>
        <w:t xml:space="preserve"> 460/1992 Zb. Ústava Slovenskej republiky (ďalej len „Ústava“) </w:t>
      </w:r>
      <w:r>
        <w:t>„môže Slovenská republika medzinárodnou zmluvou, ktorá bola ratifikovaná a vyhlásená spôsobom ustanoveným zákonom, alebo na základe takej zmluvy preniesť výkon časti svojich práv na Európske sp</w:t>
      </w:r>
      <w:r>
        <w:t>oločenstvá a Európsku úniu. Právne záväzné akty Európskych spoločenstiev a Európskej únie majú prednosť pred zákonmi Slovenskej republiky. Prevzatie právne záväzných aktov, ktoré vyžadujú implementáciu, sa vykoná zákonom alebo nariadením vlády podľa čl. 12</w:t>
      </w:r>
      <w:r>
        <w:t xml:space="preserve">0 ods. 2.“ </w:t>
      </w:r>
    </w:p>
    <w:p w:rsidR="00B32DFD" w:rsidRDefault="00300B11">
      <w:pPr>
        <w:spacing w:after="188"/>
        <w:ind w:left="137" w:right="-8"/>
      </w:pPr>
      <w:r>
        <w:rPr>
          <w:i w:val="0"/>
        </w:rPr>
        <w:t xml:space="preserve">Článok 2 body 2, 3, a 5 Zmluvy o fungovaní Európskej únie (ďalej len „Zmluvy“): </w:t>
      </w:r>
      <w:r>
        <w:t xml:space="preserve">„Ak zmluvy prenesú na Úniu v určitej oblasti právomoc, ktorú vykonáva spoločne s členskými štátmi, Únia a členské štáty môžu v tejto oblasti vykonávať legislatívnu </w:t>
      </w:r>
      <w:r>
        <w:t>činnosť a prijímať právne záväzné akty. Členské štáty vykonávajú svoju právomoc v rozsahu, v akom Únia svoju právomoc nevykonala. Členské štáty opäť vykonávajú svoju právomoc v rozsahu, v akom sa Únia rozhodla prestať vykonávať svoju právomoc. Členské štát</w:t>
      </w:r>
      <w:r>
        <w:t>y koordinujú spôsobom ustanoveným v tejto zmluve svoju hospodársku politiku a politiku zamestnanosti, na vymedzenie ktorých má právomoc Únia. V určitých oblastiach a za podmienok ustanovených v zmluvách má Únia právomoc vykonávať činnosti, ktorými podporuj</w:t>
      </w:r>
      <w:r>
        <w:t xml:space="preserve">e, koordinuje alebo dopĺňa činnosti členských štátov bez toho, aby tým v týchto oblastiach nahrádzala ich právomoc.“ </w:t>
      </w:r>
    </w:p>
    <w:p w:rsidR="00B32DFD" w:rsidRDefault="00300B11">
      <w:pPr>
        <w:spacing w:after="194"/>
        <w:ind w:left="137" w:right="-8"/>
      </w:pPr>
      <w:r>
        <w:rPr>
          <w:i w:val="0"/>
        </w:rPr>
        <w:t>V súlade s článkom 4 bod 2 písm. d) Zmluvy sa spoločné právomoci Únie a členských štátov uskutočňujú aj v oblasti sociálnej politiky. Tá j</w:t>
      </w:r>
      <w:r>
        <w:rPr>
          <w:i w:val="0"/>
        </w:rPr>
        <w:t xml:space="preserve">e vymedzená v článku 66 Zmluvy, podľa ktorého na účely tejto analýzy </w:t>
      </w:r>
      <w:r>
        <w:t>„</w:t>
      </w:r>
      <w:r>
        <w:rPr>
          <w:i w:val="0"/>
        </w:rPr>
        <w:t xml:space="preserve">... </w:t>
      </w:r>
      <w:r>
        <w:t>na dosiahnutie cieľov sociálnej politiky Únia podporuje a dopĺňa činnosti členských štátov tiež v oblastiach sociálneho zabezpečenia, integrácie osôb vylúčených z trhu práce, boja pr</w:t>
      </w:r>
      <w:r>
        <w:t xml:space="preserve">oti vylučovaniu osôb zo spoločnosti a modernizácie systémov sociálnej ochrany.“ </w:t>
      </w:r>
    </w:p>
    <w:p w:rsidR="00B32DFD" w:rsidRDefault="00300B11">
      <w:pPr>
        <w:spacing w:after="28" w:line="271" w:lineRule="auto"/>
        <w:ind w:left="137" w:right="0"/>
      </w:pPr>
      <w:r>
        <w:rPr>
          <w:i w:val="0"/>
        </w:rPr>
        <w:t xml:space="preserve">Podľa čl. 7 ods. 5 Ústavy </w:t>
      </w:r>
      <w:r>
        <w:t>„</w:t>
      </w:r>
      <w:r>
        <w:rPr>
          <w:i w:val="0"/>
        </w:rPr>
        <w:t>medzinárodné zmluvy o ľudských právach a základných slobodách, medzinárodné zmluvy, na ktorých vykonanie nie je potrebný zákon, a medzinárodné zmluv</w:t>
      </w:r>
      <w:r>
        <w:rPr>
          <w:i w:val="0"/>
        </w:rPr>
        <w:t>y, ktoré priamo zakladajú práva alebo povinnosti fyzických osôb alebo právnických osôb a ktoré boli ratifikované a vyhlásené spôsobom ustanoveným zákonom, majú prednosť pred zákonmi.“ Čl.9 Medzinárodného paktu o hospodárskych, sociálnych a kultúrnych práva</w:t>
      </w:r>
      <w:r>
        <w:rPr>
          <w:i w:val="0"/>
        </w:rPr>
        <w:t xml:space="preserve">ch: </w:t>
      </w:r>
      <w:r>
        <w:t xml:space="preserve">„Štáty, zmluvné strany tohto paktu, uznávajú právo každého na sociálne zabezpečenie, zahrňujúc do toho právo na sociálne poistenie.“ </w:t>
      </w:r>
    </w:p>
    <w:p w:rsidR="00B32DFD" w:rsidRDefault="00300B11">
      <w:pPr>
        <w:spacing w:after="178" w:line="271" w:lineRule="auto"/>
        <w:ind w:left="137" w:right="0"/>
      </w:pPr>
      <w:r>
        <w:rPr>
          <w:i w:val="0"/>
        </w:rPr>
        <w:lastRenderedPageBreak/>
        <w:t>Čl. 30 ods. 2 Listiny základných práv a slobôd (ďalej len „Listina“): Každý kto je v hmotnej núdzi „Každý, kto je v hm</w:t>
      </w:r>
      <w:r>
        <w:rPr>
          <w:i w:val="0"/>
        </w:rPr>
        <w:t>otnej núdzi, má právo na takú pomoc, ktorá je nevyhnutná na zabezpečenie základných životných podmienok.“ Ústavný základ hmotnej núdze, totožný z úpravou v Listine, stanovuje v čl. 39 ods. 4 Zákon č. 460/1992 Zb. Ústava Slovenskej republiky (ďalej len „Úst</w:t>
      </w:r>
      <w:r>
        <w:rPr>
          <w:i w:val="0"/>
        </w:rPr>
        <w:t xml:space="preserve">ava“) v čl. 39 ods. 4 (Hospodárske, sociálne a kultúrne práva): „Každý, kto je v hmotnej núdzi, má právo na takú pomoc, ktorá je nevyhnutná na zabezpečenie základných životných podmienok.“  </w:t>
      </w:r>
    </w:p>
    <w:p w:rsidR="00B32DFD" w:rsidRDefault="00300B11">
      <w:pPr>
        <w:spacing w:after="183" w:line="271" w:lineRule="auto"/>
        <w:ind w:left="137" w:right="0"/>
      </w:pPr>
      <w:r>
        <w:rPr>
          <w:i w:val="0"/>
        </w:rPr>
        <w:t xml:space="preserve">Podrobnosti práva na pomoci v </w:t>
      </w:r>
      <w:r>
        <w:rPr>
          <w:i w:val="0"/>
        </w:rPr>
        <w:t>hmotnej núdzi upravuje Zákon č. 417/2013 Z. z. o pomoci v hmotnej núdzi a o zmene a doplnení niektorých zákonov (ďalej len „Zákon o pomoci v hmotnej núdzi“) s účinnosťou od 1. januára 2014. Nárok na dávku v hmotnej núdzi stanovuje jej rozsahom  v § 10 ods.</w:t>
      </w:r>
      <w:r>
        <w:rPr>
          <w:i w:val="0"/>
        </w:rPr>
        <w:t xml:space="preserve"> 2 a spôsobom výpočtu jej zníženia v § 10 ods. 3 a 5.  </w:t>
      </w:r>
    </w:p>
    <w:p w:rsidR="00B32DFD" w:rsidRDefault="00300B11">
      <w:pPr>
        <w:spacing w:after="215" w:line="271" w:lineRule="auto"/>
        <w:ind w:left="137" w:right="0"/>
      </w:pPr>
      <w:r>
        <w:rPr>
          <w:i w:val="0"/>
        </w:rPr>
        <w:t xml:space="preserve">Rozsah dávky je:  </w:t>
      </w:r>
    </w:p>
    <w:p w:rsidR="00B32DFD" w:rsidRDefault="00300B11">
      <w:pPr>
        <w:numPr>
          <w:ilvl w:val="0"/>
          <w:numId w:val="1"/>
        </w:numPr>
        <w:spacing w:after="3" w:line="271" w:lineRule="auto"/>
        <w:ind w:right="0" w:hanging="360"/>
      </w:pPr>
      <w:r>
        <w:rPr>
          <w:i w:val="0"/>
        </w:rPr>
        <w:t xml:space="preserve">64,70 eura mesačne, ak ide o jednotlivca, </w:t>
      </w:r>
    </w:p>
    <w:p w:rsidR="00B32DFD" w:rsidRDefault="00300B11">
      <w:pPr>
        <w:spacing w:after="86" w:line="259" w:lineRule="auto"/>
        <w:ind w:left="142" w:right="0" w:firstLine="0"/>
        <w:jc w:val="left"/>
      </w:pPr>
      <w:r>
        <w:rPr>
          <w:i w:val="0"/>
        </w:rPr>
        <w:t xml:space="preserve"> </w:t>
      </w:r>
    </w:p>
    <w:p w:rsidR="00B32DFD" w:rsidRDefault="00300B11">
      <w:pPr>
        <w:numPr>
          <w:ilvl w:val="0"/>
          <w:numId w:val="1"/>
        </w:numPr>
        <w:spacing w:after="3" w:line="271" w:lineRule="auto"/>
        <w:ind w:right="0" w:hanging="360"/>
      </w:pPr>
      <w:r>
        <w:rPr>
          <w:i w:val="0"/>
        </w:rPr>
        <w:t xml:space="preserve">123,10 eura mesačne, ak ide o jednotlivca s dieťaťom alebo najviac so štyrmi deťmi, </w:t>
      </w:r>
    </w:p>
    <w:p w:rsidR="00B32DFD" w:rsidRDefault="00300B11">
      <w:pPr>
        <w:spacing w:after="76" w:line="259" w:lineRule="auto"/>
        <w:ind w:left="142" w:right="0" w:firstLine="0"/>
        <w:jc w:val="left"/>
      </w:pPr>
      <w:r>
        <w:rPr>
          <w:i w:val="0"/>
        </w:rPr>
        <w:t xml:space="preserve"> </w:t>
      </w:r>
    </w:p>
    <w:p w:rsidR="00B32DFD" w:rsidRDefault="00300B11">
      <w:pPr>
        <w:numPr>
          <w:ilvl w:val="0"/>
          <w:numId w:val="1"/>
        </w:numPr>
        <w:spacing w:after="3" w:line="271" w:lineRule="auto"/>
        <w:ind w:right="0" w:hanging="360"/>
      </w:pPr>
      <w:r>
        <w:rPr>
          <w:i w:val="0"/>
        </w:rPr>
        <w:t xml:space="preserve">112,50 eura mesačne, ak ide o dvojicu bez detí, </w:t>
      </w:r>
    </w:p>
    <w:p w:rsidR="00B32DFD" w:rsidRDefault="00300B11">
      <w:pPr>
        <w:spacing w:after="86" w:line="259" w:lineRule="auto"/>
        <w:ind w:left="142" w:right="0" w:firstLine="0"/>
        <w:jc w:val="left"/>
      </w:pPr>
      <w:r>
        <w:rPr>
          <w:i w:val="0"/>
        </w:rPr>
        <w:t xml:space="preserve"> </w:t>
      </w:r>
    </w:p>
    <w:p w:rsidR="00B32DFD" w:rsidRDefault="00300B11">
      <w:pPr>
        <w:numPr>
          <w:ilvl w:val="0"/>
          <w:numId w:val="1"/>
        </w:numPr>
        <w:spacing w:after="3" w:line="271" w:lineRule="auto"/>
        <w:ind w:right="0" w:hanging="360"/>
      </w:pPr>
      <w:r>
        <w:rPr>
          <w:i w:val="0"/>
        </w:rPr>
        <w:t xml:space="preserve">168,40 eura mesačne, ak ide o dvojicu s dieťaťom alebo najviac so štyrmi deťmi, </w:t>
      </w:r>
    </w:p>
    <w:p w:rsidR="00B32DFD" w:rsidRDefault="00300B11">
      <w:pPr>
        <w:spacing w:after="86" w:line="259" w:lineRule="auto"/>
        <w:ind w:left="142" w:right="0" w:firstLine="0"/>
        <w:jc w:val="left"/>
      </w:pPr>
      <w:r>
        <w:rPr>
          <w:i w:val="0"/>
        </w:rPr>
        <w:t xml:space="preserve"> </w:t>
      </w:r>
    </w:p>
    <w:p w:rsidR="00B32DFD" w:rsidRDefault="00300B11">
      <w:pPr>
        <w:numPr>
          <w:ilvl w:val="0"/>
          <w:numId w:val="1"/>
        </w:numPr>
        <w:spacing w:after="3" w:line="271" w:lineRule="auto"/>
        <w:ind w:right="0" w:hanging="360"/>
      </w:pPr>
      <w:r>
        <w:rPr>
          <w:i w:val="0"/>
        </w:rPr>
        <w:t xml:space="preserve">179,80 eura mesačne, ak ide o jednotlivca s viac ako štyrmi deťmi, </w:t>
      </w:r>
    </w:p>
    <w:p w:rsidR="00B32DFD" w:rsidRDefault="00300B11">
      <w:pPr>
        <w:spacing w:after="85" w:line="259" w:lineRule="auto"/>
        <w:ind w:left="142" w:right="0" w:firstLine="0"/>
        <w:jc w:val="left"/>
      </w:pPr>
      <w:r>
        <w:rPr>
          <w:i w:val="0"/>
        </w:rPr>
        <w:t xml:space="preserve"> </w:t>
      </w:r>
    </w:p>
    <w:p w:rsidR="00B32DFD" w:rsidRDefault="00300B11">
      <w:pPr>
        <w:numPr>
          <w:ilvl w:val="0"/>
          <w:numId w:val="1"/>
        </w:numPr>
        <w:spacing w:after="3" w:line="271" w:lineRule="auto"/>
        <w:ind w:right="0" w:hanging="360"/>
      </w:pPr>
      <w:r>
        <w:rPr>
          <w:i w:val="0"/>
        </w:rPr>
        <w:t xml:space="preserve">226,90 eura mesačne, ak ide o dvojicu s viac ako štyrmi deťmi </w:t>
      </w:r>
    </w:p>
    <w:p w:rsidR="00B32DFD" w:rsidRDefault="00300B11">
      <w:pPr>
        <w:spacing w:after="64" w:line="259" w:lineRule="auto"/>
        <w:ind w:left="142" w:right="0" w:firstLine="0"/>
        <w:jc w:val="left"/>
      </w:pPr>
      <w:r>
        <w:rPr>
          <w:i w:val="0"/>
        </w:rPr>
        <w:t xml:space="preserve"> </w:t>
      </w:r>
    </w:p>
    <w:p w:rsidR="00B32DFD" w:rsidRDefault="00300B11">
      <w:pPr>
        <w:spacing w:after="3" w:line="271" w:lineRule="auto"/>
        <w:ind w:left="137" w:right="0"/>
      </w:pPr>
      <w:r>
        <w:rPr>
          <w:i w:val="0"/>
        </w:rPr>
        <w:t>Spôsob výpočtu jej zníženia je vyjadrená ako zníženie o sumu 64, 70 eur za každého plnoletého člena domácnosti, ktorý nie je v právnom vzťahu, ktorý zakladá nárok na príjem zo závislej činnosti, a nezúčastní sa na základe písomnej dohody medzi úradom a obc</w:t>
      </w:r>
      <w:r>
        <w:rPr>
          <w:i w:val="0"/>
        </w:rPr>
        <w:t>ou, rozpočtovou organizáciou alebo príspevkovou organizáciou, ktorej zriaďovateľom je obec, alebo právnickou osobou so sídlom na území Slovenskej republiky, ktorá organizuje alebo sprostredkúva dobrovoľnícku činnosť pre inú osobu s jej súhlasom v jej prosp</w:t>
      </w:r>
      <w:r>
        <w:rPr>
          <w:i w:val="0"/>
        </w:rPr>
        <w:t>ech alebo vo verejný prospech  v rozsahu 32 hodín mesačne na vykonávaní menších obecných služieb pre obec alebo rozpočtovú organizáciu alebo príspevkovú organizáciu, ktorej zriaďovateľom je obec, dobrovoľníckej činnosti, alebo prác na predchádzanie mimoria</w:t>
      </w:r>
      <w:r>
        <w:rPr>
          <w:i w:val="0"/>
        </w:rPr>
        <w:t xml:space="preserve">dnej situácii, počas vyhlásenej mimoriadnej situácie a pri odstraňovaní následkov mimoriadnej situácie.  </w:t>
      </w:r>
    </w:p>
    <w:p w:rsidR="00B32DFD" w:rsidRDefault="00300B11">
      <w:pPr>
        <w:spacing w:line="259" w:lineRule="auto"/>
        <w:ind w:left="142" w:right="0" w:firstLine="0"/>
        <w:jc w:val="left"/>
      </w:pPr>
      <w:r>
        <w:rPr>
          <w:i w:val="0"/>
          <w:sz w:val="21"/>
        </w:rPr>
        <w:t xml:space="preserve"> </w:t>
      </w:r>
    </w:p>
    <w:p w:rsidR="00B32DFD" w:rsidRDefault="00300B11">
      <w:pPr>
        <w:spacing w:after="3" w:line="271" w:lineRule="auto"/>
        <w:ind w:left="137" w:right="0"/>
      </w:pPr>
      <w:r>
        <w:rPr>
          <w:i w:val="0"/>
        </w:rPr>
        <w:t>Ďalej sa uvádza, že ak je člen domácnosti v právnom vzťahu, ktorý zakladá nárok na príjem zo závislej činnosti, mesačný rozsah menších obecných služ</w:t>
      </w:r>
      <w:r>
        <w:rPr>
          <w:i w:val="0"/>
        </w:rPr>
        <w:t>ieb, dobrovoľníckej činnosti alebo prác sa určí ako rozdiel medzi 32 hodinami a rozsahom dohodnutým v tomto právnom vzťahu. Ak v nie je ustanovené inak, dávka sa znižuje o sumu uvedenú 64, 70 eur za každého plnoletého člena domácnosti, ktorý v príslušnom k</w:t>
      </w:r>
      <w:r>
        <w:rPr>
          <w:i w:val="0"/>
        </w:rPr>
        <w:t xml:space="preserve">alendárnom mesiaci nevykoná činnosť v rozsahu najmenej 32 hodín mesačne, ak rozsah činností v tomto právnom vzťahu je dohodnutý na </w:t>
      </w:r>
      <w:r>
        <w:rPr>
          <w:i w:val="0"/>
        </w:rPr>
        <w:lastRenderedPageBreak/>
        <w:t>najmenej 32 hodín mesačne, dohodnutom v právnom vzťahu, ktorý zakladá nárok na príjem zo závislej činnosti, ak rozsah činnost</w:t>
      </w:r>
      <w:r>
        <w:rPr>
          <w:i w:val="0"/>
        </w:rPr>
        <w:t>í v tomto právnom vzťahu je dohodnutý na menej ako 32 hodín mesačne alebo sa na základe písomnej dohody medzi úradom a obcou, rozpočtovou organizáciou alebo príspevkovou organizáciou, ktorej zriaďovateľom je obec, alebo organizátorom dobrovoľníckej činnost</w:t>
      </w:r>
      <w:r>
        <w:rPr>
          <w:i w:val="0"/>
        </w:rPr>
        <w:t xml:space="preserve">i nezúčastní menších obecných služieb, dobrovoľníckej činnosti alebo prác rozsahu určenom podľa prvej vety. </w:t>
      </w:r>
    </w:p>
    <w:p w:rsidR="00B32DFD" w:rsidRDefault="00300B11">
      <w:pPr>
        <w:spacing w:after="57" w:line="259" w:lineRule="auto"/>
        <w:ind w:left="142" w:right="0" w:firstLine="0"/>
        <w:jc w:val="left"/>
      </w:pPr>
      <w:r>
        <w:rPr>
          <w:i w:val="0"/>
        </w:rPr>
        <w:t xml:space="preserve"> </w:t>
      </w:r>
    </w:p>
    <w:p w:rsidR="00B32DFD" w:rsidRDefault="00300B11">
      <w:pPr>
        <w:spacing w:after="37"/>
        <w:ind w:left="137" w:right="-8"/>
      </w:pPr>
      <w:r>
        <w:rPr>
          <w:i w:val="0"/>
        </w:rPr>
        <w:t xml:space="preserve">V osobitnej časti Dôvodovej správy k Vládnemu návrhu zákona o pomoci v hmotnej núdzi (ďalej len „Vládny návrh“) k § 10 sa uvádza: </w:t>
      </w:r>
      <w:r>
        <w:t>„Navrhuje sa vý</w:t>
      </w:r>
      <w:r>
        <w:t>ška dávky v hmotnej núdzi (ďalej len „dávka“) na zabezpečenie základných životných podmienok na 6 úrovniach v závislosti od veľkosti a zloženia domácnosti. S cieľom zníženia dlhodobého pasívneho zotrvávania v systéme pomoci v hmotnej núdzi sa navrhuje, aby</w:t>
      </w:r>
      <w:r>
        <w:t xml:space="preserve"> za každého plnoletého člena domácnosti sa výška dávky znížila, ktorý sa mesačne v rozsahu 32 hodín mesačne nezúčastní výkonu menších obecných služieb, dobrovoľníckych činností, alebo práv na predchádzanie mimoriadnej situácie, počas vyhlásenia mimoriadnej</w:t>
      </w:r>
      <w:r>
        <w:t xml:space="preserve"> situácie a na odstraňovaní jej následkov. Splnenie tejto podmienky sa navrhuje nepožadovať od osôb, ktoré z objektívnych dôvodov takúto činnosť vykonávať nemôžu (§ 7), tiež na rodiča, ktorý sa celodenne a riadne stará o dieťa do troch rokov veku, tehotnú </w:t>
      </w:r>
      <w:r>
        <w:t xml:space="preserve">ženu, na osamelého rodiča, ktorý sa celodenne a riadne stará o dieťa do 6 rokov veku a od osôb, ktoré už zákonom vymedzené aktivity vykonávajú a splnia podmienky nároku na aktivačný príspevok podľa § 12 Navrhuje sa však, aby ak sa občanovi neponúkne výkon </w:t>
      </w:r>
      <w:r>
        <w:t>menších obecných služieb dobrovoľníckych činností, k zníženiu dávky nedôjde. Vzhľadom na dĺžku konania pri podaní žiadosti o pomoc v hmotnej núdzi sa navrhuje, aby podmienka účasti na vyššie uvedených aktivitách skúmala až po uplynutí dvoch mesiacov od mes</w:t>
      </w:r>
      <w:r>
        <w:t>iaca, za ktorý sa nárok na pomoc v hmotnej núdzi domácnosti priznal a pomoc sa začala poskytovať. Vzhľadom na súčasnú situáciu v mnohých obciach, predovšetkým v obciach s vysokým podielom osôb v hmotnej núdzi na celkom počte obyvateľov a vysokú mieru nezam</w:t>
      </w:r>
      <w:r>
        <w:t>estnanosti sa navrhuje, aby po dohode s obcou alebo organizátorom dobrovoľníckej činnosti sa mohol úrad rozhodnúť pre poskytovanie súčinnosti takejto obci pri riešení hmotnej núdze jej obyvateľov a to organizovaním a koordinovaním účasti osôb v hmotnej núd</w:t>
      </w:r>
      <w:r>
        <w:t>zi na vykonávaní menších obecných služieb alebo dobrovoľníckej činnosti. Navrhuje sa obsah dohody, ktorej súčasťou okrem identifikačných údajov účastníkov dohody, časového a obsahového vymedzenia činnosti, záväzkov účastníkov dohody, môžu byť aj ďalšie nál</w:t>
      </w:r>
      <w:r>
        <w:t xml:space="preserve">ežitosti ako napr. poskytnutie pracovných a ochranných pomôcok účastníkom.“ </w:t>
      </w:r>
    </w:p>
    <w:p w:rsidR="00B32DFD" w:rsidRDefault="00300B11">
      <w:pPr>
        <w:spacing w:after="64" w:line="259" w:lineRule="auto"/>
        <w:ind w:left="142" w:right="0" w:firstLine="0"/>
        <w:jc w:val="left"/>
      </w:pPr>
      <w:r>
        <w:rPr>
          <w:i w:val="0"/>
        </w:rPr>
        <w:t xml:space="preserve"> </w:t>
      </w:r>
    </w:p>
    <w:p w:rsidR="00B32DFD" w:rsidRDefault="00300B11">
      <w:pPr>
        <w:spacing w:after="36" w:line="271" w:lineRule="auto"/>
        <w:ind w:left="137" w:right="0"/>
      </w:pPr>
      <w:r>
        <w:rPr>
          <w:i w:val="0"/>
        </w:rPr>
        <w:t>Medzirezortné pripomienkové konanie k Vládnemu návrhu zákona bolo začaté a ukončené pred účinnosťou Zákona č. 400/2015 Z. z. o tvorbe právnych predpisov a o Zbierke zákonov (ďal</w:t>
      </w:r>
      <w:r>
        <w:rPr>
          <w:i w:val="0"/>
        </w:rPr>
        <w:t xml:space="preserve">ej len </w:t>
      </w:r>
      <w:r>
        <w:t>„</w:t>
      </w:r>
      <w:r>
        <w:rPr>
          <w:i w:val="0"/>
        </w:rPr>
        <w:t>Zákon o tvorbe právnych predpisov a o Zbierke zákonov</w:t>
      </w:r>
      <w:r>
        <w:t>“</w:t>
      </w:r>
      <w:r>
        <w:rPr>
          <w:i w:val="0"/>
        </w:rPr>
        <w:t xml:space="preserve">). V zmysle Zákona o tvorbe právnych predpisov a o Zbierke zákonov sa tvorba návrhu právneho predpisu a jeho náležitostí  uskutočňujú na portáli, ktorý je súčasťou informačného systému verejnej </w:t>
      </w:r>
      <w:r>
        <w:rPr>
          <w:i w:val="0"/>
        </w:rPr>
        <w:t>správy Slov-Lex a ktorého správcom a prevádzkovateľom je Ministerstvo spravodlivosti Slovenskej republiky (§ 8 ods.1 a 2). Elektronická podoba zbierky zákonov je dostupná bezplatne prostredníctvom Slov-</w:t>
      </w:r>
      <w:proofErr w:type="spellStart"/>
      <w:r>
        <w:rPr>
          <w:i w:val="0"/>
        </w:rPr>
        <w:t>Lexu</w:t>
      </w:r>
      <w:proofErr w:type="spellEnd"/>
      <w:r>
        <w:rPr>
          <w:i w:val="0"/>
        </w:rPr>
        <w:t>. (§ 12 ods. 4). Z uvedenej právnej úpravy a dokum</w:t>
      </w:r>
      <w:r>
        <w:rPr>
          <w:i w:val="0"/>
        </w:rPr>
        <w:t>entácie systému Slov-lex určenej pre verejnosť vyplýva, že prístup ku vzneseným pripomienkam v medzirezortnom pripomienkovom konaní a k vyhodnoteniu medzirezortného pripomienkového konania k Vládnemu návrhu zákona nie je v elektronickej forme prostredníctv</w:t>
      </w:r>
      <w:r>
        <w:rPr>
          <w:i w:val="0"/>
        </w:rPr>
        <w:t xml:space="preserve">om systému možný. </w:t>
      </w:r>
    </w:p>
    <w:p w:rsidR="00B32DFD" w:rsidRDefault="00300B11">
      <w:pPr>
        <w:spacing w:after="3" w:line="271" w:lineRule="auto"/>
        <w:ind w:left="137" w:right="0"/>
      </w:pPr>
      <w:r>
        <w:rPr>
          <w:i w:val="0"/>
        </w:rPr>
        <w:lastRenderedPageBreak/>
        <w:t>V tejto súvislosti sa odporúča v prípade potreby pri práci s touto analýzou žiadať od predkladateľa Vládneho návrhu zákona, resp. povinnej osoby, teda Ministerstvo práce, sociálnych vecí a rodiny, o sprístupnenie informácii v rozsahu vzn</w:t>
      </w:r>
      <w:r>
        <w:rPr>
          <w:i w:val="0"/>
        </w:rPr>
        <w:t xml:space="preserve">esených pripomienok a vyhodnotenia. </w:t>
      </w:r>
    </w:p>
    <w:p w:rsidR="00B32DFD" w:rsidRDefault="00300B11">
      <w:pPr>
        <w:spacing w:after="66" w:line="259" w:lineRule="auto"/>
        <w:ind w:left="142" w:right="0" w:firstLine="0"/>
        <w:jc w:val="left"/>
      </w:pPr>
      <w:r>
        <w:rPr>
          <w:i w:val="0"/>
        </w:rPr>
        <w:t xml:space="preserve"> </w:t>
      </w:r>
    </w:p>
    <w:p w:rsidR="00B32DFD" w:rsidRDefault="00300B11">
      <w:pPr>
        <w:spacing w:after="3" w:line="271" w:lineRule="auto"/>
        <w:ind w:left="137" w:right="0"/>
      </w:pPr>
      <w:r>
        <w:rPr>
          <w:i w:val="0"/>
        </w:rPr>
        <w:t xml:space="preserve">Podľa § 15 ods. 1 písm. d) a f) je Ministerstvo práce, sociálnych vecí a rodiny Slovenskej republiky ústredným orgánom štátnej správy pre stratégiu zamestnanosti, koordináciu jej tvorby a politiku trhu práce a štátne </w:t>
      </w:r>
      <w:r>
        <w:rPr>
          <w:i w:val="0"/>
        </w:rPr>
        <w:t xml:space="preserve">sociálne dávky, sociálne služby, podporu sociálneho začlenenia fyzickej osoby s ťažkým zdravotným postihnutím do spoločnosti a pomoc v hmotnej núdzi, </w:t>
      </w:r>
    </w:p>
    <w:p w:rsidR="00B32DFD" w:rsidRDefault="00300B11">
      <w:pPr>
        <w:spacing w:after="48" w:line="259" w:lineRule="auto"/>
        <w:ind w:left="142" w:right="0" w:firstLine="0"/>
        <w:jc w:val="left"/>
      </w:pPr>
      <w:r>
        <w:rPr>
          <w:i w:val="0"/>
          <w:sz w:val="21"/>
        </w:rPr>
        <w:t xml:space="preserve"> </w:t>
      </w:r>
    </w:p>
    <w:p w:rsidR="00B32DFD" w:rsidRDefault="00300B11">
      <w:pPr>
        <w:pStyle w:val="Nadpis2"/>
        <w:ind w:left="857" w:hanging="792"/>
      </w:pPr>
      <w:r>
        <w:t xml:space="preserve">Štatistické údaje </w:t>
      </w:r>
    </w:p>
    <w:p w:rsidR="00B32DFD" w:rsidRDefault="00300B11">
      <w:pPr>
        <w:spacing w:after="64" w:line="259" w:lineRule="auto"/>
        <w:ind w:left="142" w:right="0" w:firstLine="0"/>
        <w:jc w:val="left"/>
      </w:pPr>
      <w:r>
        <w:rPr>
          <w:i w:val="0"/>
        </w:rPr>
        <w:t xml:space="preserve"> </w:t>
      </w:r>
    </w:p>
    <w:p w:rsidR="00B32DFD" w:rsidRDefault="00300B11">
      <w:pPr>
        <w:spacing w:after="3" w:line="271" w:lineRule="auto"/>
        <w:ind w:left="10" w:right="0"/>
      </w:pPr>
      <w:r>
        <w:rPr>
          <w:i w:val="0"/>
        </w:rPr>
        <w:t xml:space="preserve">Ministerstvo práce, sociálnych vecí a </w:t>
      </w:r>
      <w:r>
        <w:rPr>
          <w:i w:val="0"/>
        </w:rPr>
        <w:t xml:space="preserve">rodiny Slovenskej republiky každoročne od roku 2013 pripravuje a predkladá na rokovanie vlády Slovenskej republiky </w:t>
      </w:r>
      <w:r>
        <w:t>Správu o sociálnej situácii obyvateľstva Slovenskej republiky</w:t>
      </w:r>
      <w:r>
        <w:rPr>
          <w:i w:val="0"/>
        </w:rPr>
        <w:t xml:space="preserve"> za predchádzajúci kalendárny rok. Cieľom správy je informovať o stave a vývoji </w:t>
      </w:r>
      <w:r>
        <w:rPr>
          <w:i w:val="0"/>
        </w:rPr>
        <w:t xml:space="preserve">sociálnej situácie obyvateľstva na Slovensku na základe sociálnoekonomických ukazovateľov.  </w:t>
      </w:r>
    </w:p>
    <w:p w:rsidR="00B32DFD" w:rsidRDefault="00300B11">
      <w:pPr>
        <w:spacing w:after="0" w:line="259" w:lineRule="auto"/>
        <w:ind w:left="0" w:right="0" w:firstLine="0"/>
        <w:jc w:val="left"/>
      </w:pPr>
      <w:r>
        <w:rPr>
          <w:i w:val="0"/>
        </w:rPr>
        <w:t xml:space="preserve"> </w:t>
      </w:r>
    </w:p>
    <w:p w:rsidR="00B32DFD" w:rsidRDefault="00300B11">
      <w:pPr>
        <w:spacing w:after="0" w:line="259" w:lineRule="auto"/>
        <w:ind w:left="0" w:right="0" w:firstLine="0"/>
        <w:jc w:val="left"/>
      </w:pPr>
      <w:r>
        <w:rPr>
          <w:i w:val="0"/>
        </w:rPr>
        <w:t xml:space="preserve"> </w:t>
      </w:r>
    </w:p>
    <w:p w:rsidR="00B32DFD" w:rsidRDefault="00300B11">
      <w:pPr>
        <w:spacing w:after="195" w:line="259" w:lineRule="auto"/>
        <w:ind w:left="12" w:right="0"/>
        <w:jc w:val="left"/>
      </w:pPr>
      <w:r>
        <w:rPr>
          <w:i w:val="0"/>
          <w:sz w:val="20"/>
        </w:rPr>
        <w:t xml:space="preserve">Graf 1. Percentuálne zastúpenie jednotlivých skupín obyvateľov poberateľov pomoci v hmotnej núdzi v roku 2014 </w:t>
      </w:r>
    </w:p>
    <w:p w:rsidR="00B32DFD" w:rsidRDefault="00300B11">
      <w:pPr>
        <w:spacing w:after="148" w:line="259" w:lineRule="auto"/>
        <w:ind w:left="142" w:right="0" w:firstLine="0"/>
        <w:jc w:val="left"/>
      </w:pPr>
      <w:r>
        <w:rPr>
          <w:i w:val="0"/>
        </w:rPr>
        <w:t xml:space="preserve"> </w:t>
      </w:r>
    </w:p>
    <w:p w:rsidR="00B32DFD" w:rsidRDefault="00300B11">
      <w:pPr>
        <w:spacing w:after="83" w:line="259" w:lineRule="auto"/>
        <w:ind w:left="0" w:right="346" w:firstLine="0"/>
        <w:jc w:val="right"/>
      </w:pPr>
      <w:r>
        <w:rPr>
          <w:noProof/>
        </w:rPr>
        <w:drawing>
          <wp:inline distT="0" distB="0" distL="0" distR="0">
            <wp:extent cx="5505450" cy="2628900"/>
            <wp:effectExtent l="0" t="0" r="0" b="0"/>
            <wp:docPr id="916" name="Picture 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" name="Picture 9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</w:rPr>
        <w:t xml:space="preserve"> </w:t>
      </w:r>
    </w:p>
    <w:p w:rsidR="00B32DFD" w:rsidRDefault="00300B11">
      <w:pPr>
        <w:spacing w:after="192" w:line="259" w:lineRule="auto"/>
        <w:ind w:left="146" w:right="0" w:firstLine="0"/>
        <w:jc w:val="left"/>
      </w:pPr>
      <w:r>
        <w:rPr>
          <w:i w:val="0"/>
          <w:sz w:val="18"/>
        </w:rPr>
        <w:t>Zdroj: Správa o sociálnej situácii obyvateľ</w:t>
      </w:r>
      <w:r>
        <w:rPr>
          <w:i w:val="0"/>
          <w:sz w:val="18"/>
        </w:rPr>
        <w:t xml:space="preserve">stva Slovenskej republiky za rok 2017/Ministerstvo práce, sociálnych vecí a rodiny </w:t>
      </w:r>
    </w:p>
    <w:p w:rsidR="00B32DFD" w:rsidRDefault="00300B11">
      <w:pPr>
        <w:spacing w:after="15" w:line="259" w:lineRule="auto"/>
        <w:ind w:left="142" w:right="0" w:firstLine="0"/>
        <w:jc w:val="left"/>
      </w:pPr>
      <w:r>
        <w:rPr>
          <w:i w:val="0"/>
          <w:sz w:val="20"/>
        </w:rPr>
        <w:t xml:space="preserve"> </w:t>
      </w:r>
    </w:p>
    <w:p w:rsidR="00B32DFD" w:rsidRDefault="00300B11">
      <w:pPr>
        <w:spacing w:after="53" w:line="259" w:lineRule="auto"/>
        <w:ind w:left="188" w:right="0" w:firstLine="0"/>
        <w:jc w:val="center"/>
      </w:pPr>
      <w:r>
        <w:rPr>
          <w:i w:val="0"/>
          <w:sz w:val="20"/>
        </w:rPr>
        <w:t xml:space="preserve"> </w:t>
      </w:r>
    </w:p>
    <w:p w:rsidR="00B32DFD" w:rsidRDefault="00300B11">
      <w:pPr>
        <w:spacing w:after="173" w:line="259" w:lineRule="auto"/>
        <w:ind w:left="149" w:right="139"/>
        <w:jc w:val="center"/>
      </w:pPr>
      <w:r>
        <w:rPr>
          <w:i w:val="0"/>
          <w:sz w:val="20"/>
        </w:rPr>
        <w:t xml:space="preserve">Graf 2. Podiel členov domácností v systéme pomoci v hmotnej núdzi z počtu obyvateľov v % v jednotlivých regiónoch ku koncu roka 2014 </w:t>
      </w:r>
    </w:p>
    <w:p w:rsidR="00B32DFD" w:rsidRDefault="00300B11">
      <w:pPr>
        <w:spacing w:after="127" w:line="259" w:lineRule="auto"/>
        <w:ind w:left="0" w:right="459" w:firstLine="0"/>
        <w:jc w:val="right"/>
      </w:pPr>
      <w:r>
        <w:rPr>
          <w:noProof/>
        </w:rPr>
        <w:lastRenderedPageBreak/>
        <w:drawing>
          <wp:inline distT="0" distB="0" distL="0" distR="0">
            <wp:extent cx="5105400" cy="2676525"/>
            <wp:effectExtent l="0" t="0" r="0" b="0"/>
            <wp:docPr id="964" name="Picture 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" name="Picture 9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</w:rPr>
        <w:t xml:space="preserve"> </w:t>
      </w:r>
    </w:p>
    <w:p w:rsidR="00B32DFD" w:rsidRDefault="00300B11">
      <w:pPr>
        <w:spacing w:after="33" w:line="259" w:lineRule="auto"/>
        <w:ind w:left="10" w:right="47"/>
        <w:jc w:val="right"/>
      </w:pPr>
      <w:r>
        <w:rPr>
          <w:i w:val="0"/>
          <w:sz w:val="20"/>
        </w:rPr>
        <w:t xml:space="preserve">Zdroj: Správa o </w:t>
      </w:r>
      <w:r>
        <w:rPr>
          <w:i w:val="0"/>
          <w:sz w:val="20"/>
        </w:rPr>
        <w:t xml:space="preserve">sociálnej situácii obyvateľstva Slovenskej republiky za rok 2017/Ministerstvo práce, sociálnych </w:t>
      </w:r>
    </w:p>
    <w:p w:rsidR="00B32DFD" w:rsidRDefault="00300B11">
      <w:pPr>
        <w:spacing w:after="173" w:line="259" w:lineRule="auto"/>
        <w:ind w:left="149" w:right="3"/>
        <w:jc w:val="center"/>
      </w:pPr>
      <w:r>
        <w:rPr>
          <w:i w:val="0"/>
          <w:sz w:val="20"/>
        </w:rPr>
        <w:t xml:space="preserve">vecí a rodiny </w:t>
      </w:r>
    </w:p>
    <w:p w:rsidR="00B32DFD" w:rsidRDefault="00300B11">
      <w:pPr>
        <w:spacing w:after="176" w:line="259" w:lineRule="auto"/>
        <w:ind w:left="188" w:right="0" w:firstLine="0"/>
        <w:jc w:val="center"/>
      </w:pPr>
      <w:r>
        <w:rPr>
          <w:i w:val="0"/>
          <w:sz w:val="20"/>
        </w:rPr>
        <w:t xml:space="preserve"> </w:t>
      </w:r>
    </w:p>
    <w:p w:rsidR="00B32DFD" w:rsidRDefault="00300B11">
      <w:pPr>
        <w:spacing w:after="2" w:line="440" w:lineRule="auto"/>
        <w:ind w:left="142" w:right="9027" w:firstLine="0"/>
        <w:jc w:val="left"/>
      </w:pPr>
      <w:r>
        <w:rPr>
          <w:i w:val="0"/>
          <w:sz w:val="20"/>
        </w:rPr>
        <w:t xml:space="preserve">   </w:t>
      </w:r>
    </w:p>
    <w:p w:rsidR="00B32DFD" w:rsidRDefault="00300B11">
      <w:pPr>
        <w:spacing w:after="211" w:line="259" w:lineRule="auto"/>
        <w:ind w:left="188" w:right="0" w:firstLine="0"/>
        <w:jc w:val="center"/>
      </w:pPr>
      <w:r>
        <w:rPr>
          <w:i w:val="0"/>
          <w:sz w:val="20"/>
        </w:rPr>
        <w:t xml:space="preserve"> </w:t>
      </w:r>
    </w:p>
    <w:p w:rsidR="00B32DFD" w:rsidRDefault="00300B11">
      <w:pPr>
        <w:spacing w:after="163" w:line="259" w:lineRule="auto"/>
        <w:ind w:left="12" w:right="0"/>
        <w:jc w:val="left"/>
      </w:pPr>
      <w:r>
        <w:rPr>
          <w:i w:val="0"/>
          <w:sz w:val="20"/>
        </w:rPr>
        <w:t xml:space="preserve">Graf 3. Percentuálne zastúpenie jednotlivých skupín obyvateľov poberateľov pomoci v hmotnej núdzi v roku 2015 </w:t>
      </w:r>
    </w:p>
    <w:p w:rsidR="00B32DFD" w:rsidRDefault="00300B11">
      <w:pPr>
        <w:spacing w:after="0" w:line="259" w:lineRule="auto"/>
        <w:ind w:left="0" w:right="570" w:firstLine="0"/>
        <w:jc w:val="right"/>
      </w:pPr>
      <w:r>
        <w:rPr>
          <w:noProof/>
        </w:rPr>
        <w:drawing>
          <wp:inline distT="0" distB="0" distL="0" distR="0">
            <wp:extent cx="4972050" cy="2771775"/>
            <wp:effectExtent l="0" t="0" r="0" b="0"/>
            <wp:docPr id="966" name="Picture 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" name="Picture 9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2"/>
        </w:rPr>
        <w:t xml:space="preserve"> </w:t>
      </w:r>
    </w:p>
    <w:p w:rsidR="00B32DFD" w:rsidRDefault="00300B11">
      <w:pPr>
        <w:spacing w:after="14" w:line="259" w:lineRule="auto"/>
        <w:ind w:left="142" w:right="0" w:firstLine="0"/>
        <w:jc w:val="left"/>
      </w:pPr>
      <w:r>
        <w:rPr>
          <w:i w:val="0"/>
          <w:sz w:val="22"/>
        </w:rPr>
        <w:t xml:space="preserve"> </w:t>
      </w:r>
    </w:p>
    <w:p w:rsidR="00B32DFD" w:rsidRDefault="00300B11">
      <w:pPr>
        <w:spacing w:after="204" w:line="259" w:lineRule="auto"/>
        <w:ind w:left="149" w:right="117"/>
        <w:jc w:val="center"/>
      </w:pPr>
      <w:r>
        <w:rPr>
          <w:i w:val="0"/>
          <w:sz w:val="20"/>
        </w:rPr>
        <w:t xml:space="preserve">Zdroj: Správa o </w:t>
      </w:r>
      <w:r>
        <w:rPr>
          <w:i w:val="0"/>
          <w:sz w:val="20"/>
        </w:rPr>
        <w:t xml:space="preserve">sociálnej situácii obyvateľstva Slovenskej republiky za rok 2017/Ministerstvo práce, sociálnych vecí a rod </w:t>
      </w:r>
    </w:p>
    <w:p w:rsidR="00B32DFD" w:rsidRDefault="00300B11">
      <w:pPr>
        <w:spacing w:after="173" w:line="259" w:lineRule="auto"/>
        <w:ind w:left="149" w:right="139"/>
        <w:jc w:val="center"/>
      </w:pPr>
      <w:r>
        <w:rPr>
          <w:i w:val="0"/>
          <w:sz w:val="20"/>
        </w:rPr>
        <w:t xml:space="preserve">Graf 4. Podiel členov domácností v systéme pomoci v hmotnej núdzi z počtu obyvateľov v % v jednotlivých regiónoch ku koncu roka 2015 </w:t>
      </w:r>
    </w:p>
    <w:p w:rsidR="00B32DFD" w:rsidRDefault="00300B11">
      <w:pPr>
        <w:spacing w:after="0" w:line="259" w:lineRule="auto"/>
        <w:ind w:left="0" w:right="771" w:firstLine="0"/>
        <w:jc w:val="right"/>
      </w:pPr>
      <w:r>
        <w:rPr>
          <w:noProof/>
        </w:rPr>
        <w:lastRenderedPageBreak/>
        <w:drawing>
          <wp:inline distT="0" distB="0" distL="0" distR="0">
            <wp:extent cx="5238750" cy="2667000"/>
            <wp:effectExtent l="0" t="0" r="0" b="0"/>
            <wp:docPr id="1009" name="Picture 1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" name="Picture 10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2"/>
        </w:rPr>
        <w:t xml:space="preserve"> </w:t>
      </w:r>
    </w:p>
    <w:p w:rsidR="00B32DFD" w:rsidRDefault="00300B11">
      <w:pPr>
        <w:spacing w:after="17" w:line="259" w:lineRule="auto"/>
        <w:ind w:left="142" w:right="0" w:firstLine="0"/>
        <w:jc w:val="left"/>
      </w:pPr>
      <w:r>
        <w:rPr>
          <w:i w:val="0"/>
          <w:sz w:val="22"/>
        </w:rPr>
        <w:t xml:space="preserve"> </w:t>
      </w:r>
    </w:p>
    <w:p w:rsidR="00B32DFD" w:rsidRDefault="00300B11">
      <w:pPr>
        <w:spacing w:after="173" w:line="259" w:lineRule="auto"/>
        <w:ind w:left="149" w:right="117"/>
        <w:jc w:val="center"/>
      </w:pPr>
      <w:r>
        <w:rPr>
          <w:i w:val="0"/>
          <w:sz w:val="20"/>
        </w:rPr>
        <w:t xml:space="preserve">Zdroj: Správa o sociálnej situácii obyvateľstva Slovenskej republiky za rok 2017/Ministerstvo práce, sociálnych vecí a rodiny </w:t>
      </w:r>
    </w:p>
    <w:p w:rsidR="00B32DFD" w:rsidRDefault="00300B11">
      <w:pPr>
        <w:spacing w:after="0" w:line="259" w:lineRule="auto"/>
        <w:ind w:left="142" w:right="0" w:firstLine="0"/>
        <w:jc w:val="left"/>
      </w:pPr>
      <w:r>
        <w:rPr>
          <w:i w:val="0"/>
          <w:sz w:val="22"/>
        </w:rPr>
        <w:t xml:space="preserve"> </w:t>
      </w:r>
    </w:p>
    <w:p w:rsidR="00B32DFD" w:rsidRDefault="00300B11">
      <w:pPr>
        <w:spacing w:after="0" w:line="259" w:lineRule="auto"/>
        <w:ind w:left="193" w:right="0" w:firstLine="0"/>
        <w:jc w:val="center"/>
      </w:pPr>
      <w:r>
        <w:rPr>
          <w:i w:val="0"/>
          <w:sz w:val="22"/>
        </w:rPr>
        <w:t xml:space="preserve"> </w:t>
      </w:r>
    </w:p>
    <w:p w:rsidR="00B32DFD" w:rsidRDefault="00300B11">
      <w:pPr>
        <w:spacing w:after="0" w:line="259" w:lineRule="auto"/>
        <w:ind w:left="193" w:right="0" w:firstLine="0"/>
        <w:jc w:val="center"/>
      </w:pPr>
      <w:r>
        <w:rPr>
          <w:i w:val="0"/>
          <w:sz w:val="22"/>
        </w:rPr>
        <w:t xml:space="preserve"> </w:t>
      </w:r>
    </w:p>
    <w:p w:rsidR="00B32DFD" w:rsidRDefault="00300B11">
      <w:pPr>
        <w:spacing w:after="0" w:line="259" w:lineRule="auto"/>
        <w:ind w:left="193" w:right="0" w:firstLine="0"/>
        <w:jc w:val="center"/>
      </w:pPr>
      <w:r>
        <w:rPr>
          <w:i w:val="0"/>
          <w:sz w:val="22"/>
        </w:rPr>
        <w:t xml:space="preserve"> </w:t>
      </w:r>
    </w:p>
    <w:p w:rsidR="00B32DFD" w:rsidRDefault="00300B11">
      <w:pPr>
        <w:spacing w:after="2" w:line="255" w:lineRule="auto"/>
        <w:ind w:left="4678" w:right="4485" w:firstLine="0"/>
        <w:jc w:val="center"/>
      </w:pPr>
      <w:r>
        <w:rPr>
          <w:i w:val="0"/>
          <w:sz w:val="22"/>
        </w:rPr>
        <w:t xml:space="preserve">  </w:t>
      </w:r>
    </w:p>
    <w:p w:rsidR="00B32DFD" w:rsidRDefault="00300B11">
      <w:pPr>
        <w:spacing w:after="11" w:line="259" w:lineRule="auto"/>
        <w:ind w:left="193" w:right="0" w:firstLine="0"/>
        <w:jc w:val="center"/>
      </w:pPr>
      <w:r>
        <w:rPr>
          <w:i w:val="0"/>
          <w:sz w:val="22"/>
        </w:rPr>
        <w:t xml:space="preserve"> </w:t>
      </w:r>
    </w:p>
    <w:p w:rsidR="00B32DFD" w:rsidRDefault="00300B11">
      <w:pPr>
        <w:spacing w:after="163" w:line="259" w:lineRule="auto"/>
        <w:ind w:left="12" w:right="0"/>
        <w:jc w:val="left"/>
      </w:pPr>
      <w:r>
        <w:rPr>
          <w:i w:val="0"/>
          <w:sz w:val="20"/>
        </w:rPr>
        <w:t xml:space="preserve">Graf 5. Percentuálne zastúpenie jednotlivých skupín obyvateľov poberateľov pomoci v hmotnej núdzi v roku 2016 </w:t>
      </w:r>
    </w:p>
    <w:p w:rsidR="00B32DFD" w:rsidRDefault="00300B11">
      <w:pPr>
        <w:spacing w:after="0" w:line="259" w:lineRule="auto"/>
        <w:ind w:left="193" w:right="0" w:firstLine="0"/>
        <w:jc w:val="center"/>
      </w:pPr>
      <w:r>
        <w:rPr>
          <w:i w:val="0"/>
          <w:sz w:val="22"/>
        </w:rPr>
        <w:t xml:space="preserve"> </w:t>
      </w:r>
    </w:p>
    <w:p w:rsidR="00B32DFD" w:rsidRDefault="00300B11">
      <w:pPr>
        <w:spacing w:after="0" w:line="259" w:lineRule="auto"/>
        <w:ind w:left="0" w:right="375" w:firstLine="0"/>
        <w:jc w:val="right"/>
      </w:pPr>
      <w:r>
        <w:rPr>
          <w:noProof/>
        </w:rPr>
        <w:drawing>
          <wp:inline distT="0" distB="0" distL="0" distR="0">
            <wp:extent cx="5219700" cy="2686050"/>
            <wp:effectExtent l="0" t="0" r="0" b="0"/>
            <wp:docPr id="1011" name="Picture 1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" name="Picture 10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2"/>
        </w:rPr>
        <w:t xml:space="preserve"> </w:t>
      </w:r>
    </w:p>
    <w:p w:rsidR="00B32DFD" w:rsidRDefault="00300B11">
      <w:pPr>
        <w:spacing w:after="0" w:line="259" w:lineRule="auto"/>
        <w:ind w:left="193" w:right="0" w:firstLine="0"/>
        <w:jc w:val="center"/>
      </w:pPr>
      <w:r>
        <w:rPr>
          <w:i w:val="0"/>
          <w:sz w:val="22"/>
        </w:rPr>
        <w:t xml:space="preserve"> </w:t>
      </w:r>
    </w:p>
    <w:p w:rsidR="00B32DFD" w:rsidRDefault="00300B11">
      <w:pPr>
        <w:spacing w:after="214" w:line="259" w:lineRule="auto"/>
        <w:ind w:left="188" w:right="0" w:firstLine="0"/>
        <w:jc w:val="center"/>
      </w:pPr>
      <w:r>
        <w:rPr>
          <w:i w:val="0"/>
          <w:sz w:val="20"/>
        </w:rPr>
        <w:t xml:space="preserve"> </w:t>
      </w:r>
    </w:p>
    <w:p w:rsidR="00B32DFD" w:rsidRDefault="00300B11">
      <w:pPr>
        <w:spacing w:after="33" w:line="259" w:lineRule="auto"/>
        <w:ind w:left="10" w:right="47"/>
        <w:jc w:val="right"/>
      </w:pPr>
      <w:r>
        <w:rPr>
          <w:i w:val="0"/>
          <w:sz w:val="20"/>
        </w:rPr>
        <w:t xml:space="preserve">Zdroj: Správa o sociálnej situácii obyvateľstva Slovenskej republiky za rok 2017/Ministerstvo práce, sociálnych </w:t>
      </w:r>
    </w:p>
    <w:p w:rsidR="00B32DFD" w:rsidRDefault="00300B11">
      <w:pPr>
        <w:spacing w:after="173" w:line="259" w:lineRule="auto"/>
        <w:ind w:left="149" w:right="3"/>
        <w:jc w:val="center"/>
      </w:pPr>
      <w:r>
        <w:rPr>
          <w:i w:val="0"/>
          <w:sz w:val="20"/>
        </w:rPr>
        <w:t xml:space="preserve">vecí a rodiny </w:t>
      </w:r>
    </w:p>
    <w:p w:rsidR="00B32DFD" w:rsidRDefault="00300B11">
      <w:pPr>
        <w:spacing w:after="0" w:line="259" w:lineRule="auto"/>
        <w:ind w:left="188" w:right="0" w:firstLine="0"/>
        <w:jc w:val="center"/>
      </w:pPr>
      <w:r>
        <w:rPr>
          <w:i w:val="0"/>
          <w:sz w:val="20"/>
        </w:rPr>
        <w:t xml:space="preserve"> </w:t>
      </w:r>
    </w:p>
    <w:p w:rsidR="00B32DFD" w:rsidRDefault="00300B11">
      <w:pPr>
        <w:spacing w:after="51" w:line="259" w:lineRule="auto"/>
        <w:ind w:left="149" w:right="3"/>
        <w:jc w:val="center"/>
      </w:pPr>
      <w:r>
        <w:rPr>
          <w:i w:val="0"/>
          <w:sz w:val="20"/>
        </w:rPr>
        <w:t xml:space="preserve">Graf 6. Podiel členov domácností v systéme pomoci v hmotnej núdzi z počtu obyvateľov v % v jednotlivých </w:t>
      </w:r>
    </w:p>
    <w:p w:rsidR="00B32DFD" w:rsidRDefault="00300B11">
      <w:pPr>
        <w:spacing w:after="15" w:line="259" w:lineRule="auto"/>
        <w:ind w:left="149" w:right="0"/>
        <w:jc w:val="center"/>
      </w:pPr>
      <w:r>
        <w:rPr>
          <w:i w:val="0"/>
          <w:sz w:val="20"/>
        </w:rPr>
        <w:lastRenderedPageBreak/>
        <w:t xml:space="preserve">regiónoch ku koncu roka 2016 </w:t>
      </w:r>
    </w:p>
    <w:p w:rsidR="00B32DFD" w:rsidRDefault="00300B11">
      <w:pPr>
        <w:spacing w:after="24" w:line="259" w:lineRule="auto"/>
        <w:ind w:left="188" w:right="0" w:firstLine="0"/>
        <w:jc w:val="center"/>
      </w:pPr>
      <w:r>
        <w:rPr>
          <w:i w:val="0"/>
          <w:sz w:val="20"/>
        </w:rPr>
        <w:t xml:space="preserve"> </w:t>
      </w:r>
    </w:p>
    <w:p w:rsidR="00B32DFD" w:rsidRDefault="00300B11">
      <w:pPr>
        <w:spacing w:after="0" w:line="259" w:lineRule="auto"/>
        <w:ind w:left="0" w:right="560" w:firstLine="0"/>
        <w:jc w:val="right"/>
      </w:pPr>
      <w:r>
        <w:rPr>
          <w:noProof/>
        </w:rPr>
        <w:drawing>
          <wp:inline distT="0" distB="0" distL="0" distR="0">
            <wp:extent cx="5362575" cy="2752725"/>
            <wp:effectExtent l="0" t="0" r="0" b="0"/>
            <wp:docPr id="1084" name="Picture 1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" name="Picture 108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2"/>
        </w:rPr>
        <w:t xml:space="preserve"> </w:t>
      </w:r>
    </w:p>
    <w:p w:rsidR="00B32DFD" w:rsidRDefault="00300B11">
      <w:pPr>
        <w:spacing w:after="17" w:line="259" w:lineRule="auto"/>
        <w:ind w:left="142" w:right="0" w:firstLine="0"/>
        <w:jc w:val="left"/>
      </w:pPr>
      <w:r>
        <w:rPr>
          <w:i w:val="0"/>
          <w:sz w:val="22"/>
        </w:rPr>
        <w:t xml:space="preserve"> </w:t>
      </w:r>
    </w:p>
    <w:p w:rsidR="00B32DFD" w:rsidRDefault="00300B11">
      <w:pPr>
        <w:spacing w:after="33" w:line="259" w:lineRule="auto"/>
        <w:ind w:left="10" w:right="47"/>
        <w:jc w:val="right"/>
      </w:pPr>
      <w:r>
        <w:rPr>
          <w:i w:val="0"/>
          <w:sz w:val="20"/>
        </w:rPr>
        <w:t xml:space="preserve">Zdroj: Správa o sociálnej situácii obyvateľstva Slovenskej republiky za rok 2017/Ministerstvo práce, sociálnych </w:t>
      </w:r>
    </w:p>
    <w:p w:rsidR="00B32DFD" w:rsidRDefault="00300B11">
      <w:pPr>
        <w:spacing w:after="173" w:line="259" w:lineRule="auto"/>
        <w:ind w:left="149" w:right="3"/>
        <w:jc w:val="center"/>
      </w:pPr>
      <w:r>
        <w:rPr>
          <w:i w:val="0"/>
          <w:sz w:val="20"/>
        </w:rPr>
        <w:t xml:space="preserve">vecí a rodiny </w:t>
      </w:r>
    </w:p>
    <w:p w:rsidR="00B32DFD" w:rsidRDefault="00300B11">
      <w:pPr>
        <w:spacing w:after="34" w:line="441" w:lineRule="auto"/>
        <w:ind w:left="4678" w:right="4490" w:firstLine="0"/>
        <w:jc w:val="center"/>
      </w:pPr>
      <w:r>
        <w:rPr>
          <w:i w:val="0"/>
          <w:sz w:val="20"/>
        </w:rPr>
        <w:t xml:space="preserve">   </w:t>
      </w:r>
    </w:p>
    <w:p w:rsidR="00B32DFD" w:rsidRDefault="00300B11">
      <w:pPr>
        <w:spacing w:after="0" w:line="259" w:lineRule="auto"/>
        <w:ind w:left="12" w:right="0"/>
        <w:jc w:val="left"/>
      </w:pPr>
      <w:r>
        <w:rPr>
          <w:i w:val="0"/>
          <w:sz w:val="20"/>
        </w:rPr>
        <w:t xml:space="preserve">Graf 7. Percentuálne zastúpenie jednotlivých skupín obyvateľov poberateľov pomoci v </w:t>
      </w:r>
      <w:r>
        <w:rPr>
          <w:i w:val="0"/>
          <w:sz w:val="20"/>
        </w:rPr>
        <w:t xml:space="preserve">hmotnej núdzi v roku 2017 </w:t>
      </w:r>
    </w:p>
    <w:p w:rsidR="00B32DFD" w:rsidRDefault="00300B11">
      <w:pPr>
        <w:spacing w:after="166" w:line="259" w:lineRule="auto"/>
        <w:ind w:left="44" w:right="0" w:firstLine="0"/>
        <w:jc w:val="center"/>
      </w:pPr>
      <w:r>
        <w:rPr>
          <w:i w:val="0"/>
          <w:sz w:val="20"/>
        </w:rPr>
        <w:t xml:space="preserve"> </w:t>
      </w:r>
    </w:p>
    <w:p w:rsidR="00B32DFD" w:rsidRDefault="00300B11">
      <w:pPr>
        <w:spacing w:after="253" w:line="216" w:lineRule="auto"/>
        <w:ind w:left="4678" w:right="795" w:hanging="3690"/>
        <w:jc w:val="left"/>
      </w:pPr>
      <w:r>
        <w:rPr>
          <w:noProof/>
        </w:rPr>
        <w:drawing>
          <wp:inline distT="0" distB="0" distL="0" distR="0">
            <wp:extent cx="4686300" cy="2676525"/>
            <wp:effectExtent l="0" t="0" r="0" b="0"/>
            <wp:docPr id="1086" name="Picture 1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" name="Picture 108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2"/>
        </w:rPr>
        <w:t xml:space="preserve"> </w:t>
      </w:r>
      <w:r>
        <w:rPr>
          <w:i w:val="0"/>
          <w:sz w:val="20"/>
        </w:rPr>
        <w:t xml:space="preserve"> </w:t>
      </w:r>
    </w:p>
    <w:p w:rsidR="00B32DFD" w:rsidRDefault="00300B11">
      <w:pPr>
        <w:spacing w:after="207" w:line="259" w:lineRule="auto"/>
        <w:ind w:left="149" w:right="117"/>
        <w:jc w:val="center"/>
      </w:pPr>
      <w:r>
        <w:rPr>
          <w:i w:val="0"/>
          <w:sz w:val="20"/>
        </w:rPr>
        <w:t xml:space="preserve">Zdroj: Správa o sociálnej situácii obyvateľstva Slovenskej republiky za rok 2017/Ministerstvo práce, sociálnych vecí a rodiny </w:t>
      </w:r>
    </w:p>
    <w:p w:rsidR="00B32DFD" w:rsidRDefault="00300B11">
      <w:pPr>
        <w:spacing w:after="173" w:line="259" w:lineRule="auto"/>
        <w:ind w:left="149" w:right="139"/>
        <w:jc w:val="center"/>
      </w:pPr>
      <w:r>
        <w:rPr>
          <w:i w:val="0"/>
          <w:sz w:val="20"/>
        </w:rPr>
        <w:t xml:space="preserve">Graf 8. Podiel členov domácností v systéme pomoci v hmotnej núdzi z počtu obyvateľov v % v </w:t>
      </w:r>
      <w:r>
        <w:rPr>
          <w:i w:val="0"/>
          <w:sz w:val="20"/>
        </w:rPr>
        <w:t xml:space="preserve">jednotlivých regiónoch ku koncu roka 2017 </w:t>
      </w:r>
    </w:p>
    <w:p w:rsidR="00B32DFD" w:rsidRDefault="00300B11">
      <w:pPr>
        <w:spacing w:after="166" w:line="259" w:lineRule="auto"/>
        <w:ind w:left="142" w:right="0" w:firstLine="0"/>
        <w:jc w:val="left"/>
      </w:pPr>
      <w:r>
        <w:rPr>
          <w:i w:val="0"/>
          <w:sz w:val="20"/>
        </w:rPr>
        <w:t xml:space="preserve"> </w:t>
      </w:r>
    </w:p>
    <w:p w:rsidR="00B32DFD" w:rsidRDefault="00300B11">
      <w:pPr>
        <w:spacing w:after="171" w:line="259" w:lineRule="auto"/>
        <w:ind w:left="0" w:right="441" w:firstLine="0"/>
        <w:jc w:val="right"/>
      </w:pPr>
      <w:r>
        <w:rPr>
          <w:noProof/>
        </w:rPr>
        <w:lastRenderedPageBreak/>
        <w:drawing>
          <wp:inline distT="0" distB="0" distL="0" distR="0">
            <wp:extent cx="5133975" cy="2705100"/>
            <wp:effectExtent l="0" t="0" r="0" b="0"/>
            <wp:docPr id="1127" name="Picture 1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" name="Picture 11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</w:t>
      </w:r>
    </w:p>
    <w:p w:rsidR="00B32DFD" w:rsidRDefault="00300B11">
      <w:pPr>
        <w:spacing w:after="33" w:line="259" w:lineRule="auto"/>
        <w:ind w:left="10" w:right="47"/>
        <w:jc w:val="right"/>
      </w:pPr>
      <w:r>
        <w:rPr>
          <w:i w:val="0"/>
          <w:sz w:val="20"/>
        </w:rPr>
        <w:t xml:space="preserve">Zdroj: Správa o sociálnej situácii obyvateľstva Slovenskej republiky za rok 2018/Ministerstvo práce, sociálnych </w:t>
      </w:r>
    </w:p>
    <w:p w:rsidR="00B32DFD" w:rsidRDefault="00300B11">
      <w:pPr>
        <w:spacing w:after="173" w:line="259" w:lineRule="auto"/>
        <w:ind w:left="149" w:right="3"/>
        <w:jc w:val="center"/>
      </w:pPr>
      <w:r>
        <w:rPr>
          <w:i w:val="0"/>
          <w:sz w:val="20"/>
        </w:rPr>
        <w:t xml:space="preserve">vecí a rodiny </w:t>
      </w:r>
    </w:p>
    <w:p w:rsidR="00B32DFD" w:rsidRDefault="00300B11">
      <w:pPr>
        <w:spacing w:after="0" w:line="442" w:lineRule="auto"/>
        <w:ind w:left="4678" w:right="4490" w:firstLine="0"/>
        <w:jc w:val="center"/>
      </w:pPr>
      <w:r>
        <w:rPr>
          <w:i w:val="0"/>
          <w:sz w:val="20"/>
        </w:rPr>
        <w:t xml:space="preserve">  </w:t>
      </w:r>
    </w:p>
    <w:p w:rsidR="00B32DFD" w:rsidRDefault="00300B11">
      <w:pPr>
        <w:spacing w:after="176" w:line="259" w:lineRule="auto"/>
        <w:ind w:left="188" w:right="0" w:firstLine="0"/>
        <w:jc w:val="center"/>
      </w:pPr>
      <w:r>
        <w:rPr>
          <w:i w:val="0"/>
          <w:sz w:val="20"/>
        </w:rPr>
        <w:t xml:space="preserve"> </w:t>
      </w:r>
    </w:p>
    <w:p w:rsidR="00B32DFD" w:rsidRDefault="00300B11">
      <w:pPr>
        <w:spacing w:after="33" w:line="442" w:lineRule="auto"/>
        <w:ind w:left="142" w:right="9027" w:firstLine="0"/>
        <w:jc w:val="left"/>
      </w:pPr>
      <w:r>
        <w:rPr>
          <w:i w:val="0"/>
          <w:sz w:val="20"/>
        </w:rPr>
        <w:t xml:space="preserve">   </w:t>
      </w:r>
    </w:p>
    <w:p w:rsidR="00B32DFD" w:rsidRDefault="00300B11">
      <w:pPr>
        <w:spacing w:after="163" w:line="259" w:lineRule="auto"/>
        <w:ind w:left="12" w:right="0"/>
        <w:jc w:val="left"/>
      </w:pPr>
      <w:r>
        <w:rPr>
          <w:i w:val="0"/>
          <w:sz w:val="20"/>
        </w:rPr>
        <w:t>Graf 9</w:t>
      </w:r>
      <w:r>
        <w:rPr>
          <w:i w:val="0"/>
          <w:sz w:val="20"/>
        </w:rPr>
        <w:t xml:space="preserve">. Percentuálne zastúpenie jednotlivých skupín obyvateľov poberateľov pomoci v hmotnej núdzi v roku 2018 </w:t>
      </w:r>
    </w:p>
    <w:p w:rsidR="00B32DFD" w:rsidRDefault="00300B11">
      <w:pPr>
        <w:spacing w:after="163" w:line="259" w:lineRule="auto"/>
        <w:ind w:left="188" w:right="0" w:firstLine="0"/>
        <w:jc w:val="center"/>
      </w:pPr>
      <w:r>
        <w:rPr>
          <w:i w:val="0"/>
          <w:sz w:val="20"/>
        </w:rPr>
        <w:t xml:space="preserve"> </w:t>
      </w:r>
    </w:p>
    <w:p w:rsidR="00B32DFD" w:rsidRDefault="00300B11">
      <w:pPr>
        <w:spacing w:after="169" w:line="259" w:lineRule="auto"/>
        <w:ind w:left="0" w:right="606" w:firstLine="0"/>
        <w:jc w:val="right"/>
      </w:pPr>
      <w:r>
        <w:rPr>
          <w:noProof/>
        </w:rPr>
        <w:drawing>
          <wp:inline distT="0" distB="0" distL="0" distR="0">
            <wp:extent cx="4933950" cy="2381250"/>
            <wp:effectExtent l="0" t="0" r="0" b="0"/>
            <wp:docPr id="1129" name="Picture 1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" name="Picture 112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</w:t>
      </w:r>
    </w:p>
    <w:p w:rsidR="00B32DFD" w:rsidRDefault="00300B11">
      <w:pPr>
        <w:spacing w:after="33" w:line="259" w:lineRule="auto"/>
        <w:ind w:left="10" w:right="47"/>
        <w:jc w:val="right"/>
      </w:pPr>
      <w:r>
        <w:rPr>
          <w:i w:val="0"/>
          <w:sz w:val="20"/>
        </w:rPr>
        <w:t xml:space="preserve">Zdroj: Správa o sociálnej situácii obyvateľstva Slovenskej republiky za rok 2018/Ministerstvo práce, sociálnych </w:t>
      </w:r>
    </w:p>
    <w:p w:rsidR="00B32DFD" w:rsidRDefault="00300B11">
      <w:pPr>
        <w:spacing w:after="173" w:line="259" w:lineRule="auto"/>
        <w:ind w:left="149" w:right="2"/>
        <w:jc w:val="center"/>
      </w:pPr>
      <w:r>
        <w:rPr>
          <w:i w:val="0"/>
          <w:sz w:val="20"/>
        </w:rPr>
        <w:t xml:space="preserve">vecí a rodiny </w:t>
      </w:r>
    </w:p>
    <w:p w:rsidR="00B32DFD" w:rsidRDefault="00300B11">
      <w:pPr>
        <w:spacing w:after="51" w:line="259" w:lineRule="auto"/>
        <w:ind w:left="291" w:right="0"/>
        <w:jc w:val="left"/>
      </w:pPr>
      <w:r>
        <w:rPr>
          <w:i w:val="0"/>
          <w:sz w:val="20"/>
        </w:rPr>
        <w:t>Graf 10. Podiel čl</w:t>
      </w:r>
      <w:r>
        <w:rPr>
          <w:i w:val="0"/>
          <w:sz w:val="20"/>
        </w:rPr>
        <w:t xml:space="preserve">enov domácností v systéme pomoci v hmotnej núdzi z počtu obyvateľov v % v jednotlivých </w:t>
      </w:r>
    </w:p>
    <w:p w:rsidR="00B32DFD" w:rsidRDefault="00300B11">
      <w:pPr>
        <w:spacing w:after="34" w:line="259" w:lineRule="auto"/>
        <w:ind w:left="149" w:right="0"/>
        <w:jc w:val="center"/>
      </w:pPr>
      <w:r>
        <w:rPr>
          <w:i w:val="0"/>
          <w:sz w:val="20"/>
        </w:rPr>
        <w:t xml:space="preserve">regiónoch ku koncu roka 2018 </w:t>
      </w:r>
    </w:p>
    <w:p w:rsidR="00B32DFD" w:rsidRDefault="00300B11">
      <w:pPr>
        <w:spacing w:after="0" w:line="259" w:lineRule="auto"/>
        <w:ind w:left="193" w:right="0" w:firstLine="0"/>
        <w:jc w:val="center"/>
      </w:pPr>
      <w:r>
        <w:rPr>
          <w:i w:val="0"/>
          <w:sz w:val="22"/>
        </w:rPr>
        <w:t xml:space="preserve"> </w:t>
      </w:r>
    </w:p>
    <w:p w:rsidR="00B32DFD" w:rsidRDefault="00300B11">
      <w:pPr>
        <w:spacing w:after="0" w:line="259" w:lineRule="auto"/>
        <w:ind w:left="0" w:right="104" w:firstLine="0"/>
        <w:jc w:val="right"/>
      </w:pPr>
      <w:r>
        <w:rPr>
          <w:noProof/>
        </w:rPr>
        <w:lastRenderedPageBreak/>
        <w:drawing>
          <wp:inline distT="0" distB="0" distL="0" distR="0">
            <wp:extent cx="5562601" cy="2990850"/>
            <wp:effectExtent l="0" t="0" r="0" b="0"/>
            <wp:docPr id="1242" name="Picture 1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" name="Picture 124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1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2"/>
        </w:rPr>
        <w:t xml:space="preserve"> </w:t>
      </w:r>
    </w:p>
    <w:p w:rsidR="00B32DFD" w:rsidRDefault="00300B11">
      <w:pPr>
        <w:spacing w:after="17" w:line="259" w:lineRule="auto"/>
        <w:ind w:left="193" w:right="0" w:firstLine="0"/>
        <w:jc w:val="center"/>
      </w:pPr>
      <w:r>
        <w:rPr>
          <w:i w:val="0"/>
          <w:sz w:val="22"/>
        </w:rPr>
        <w:t xml:space="preserve"> </w:t>
      </w:r>
    </w:p>
    <w:p w:rsidR="00B32DFD" w:rsidRDefault="00300B11">
      <w:pPr>
        <w:spacing w:after="207" w:line="259" w:lineRule="auto"/>
        <w:ind w:left="149" w:right="117"/>
        <w:jc w:val="center"/>
      </w:pPr>
      <w:r>
        <w:rPr>
          <w:i w:val="0"/>
          <w:sz w:val="20"/>
        </w:rPr>
        <w:t xml:space="preserve">Zdroj: Správa o sociálnej situácii obyvateľstva Slovenskej republiky za rok 2018/Ministerstvo práce, sociálnych vecí a rodiny </w:t>
      </w:r>
    </w:p>
    <w:p w:rsidR="00B32DFD" w:rsidRDefault="00300B11">
      <w:pPr>
        <w:spacing w:after="0" w:line="259" w:lineRule="auto"/>
        <w:ind w:left="142" w:right="0" w:firstLine="0"/>
        <w:jc w:val="left"/>
      </w:pPr>
      <w:r>
        <w:rPr>
          <w:i w:val="0"/>
        </w:rPr>
        <w:t xml:space="preserve"> </w:t>
      </w:r>
    </w:p>
    <w:tbl>
      <w:tblPr>
        <w:tblStyle w:val="TableGrid"/>
        <w:tblW w:w="9354" w:type="dxa"/>
        <w:tblInd w:w="149" w:type="dxa"/>
        <w:tblCellMar>
          <w:top w:w="13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389"/>
        <w:gridCol w:w="1296"/>
        <w:gridCol w:w="1277"/>
        <w:gridCol w:w="1226"/>
        <w:gridCol w:w="1510"/>
        <w:gridCol w:w="1656"/>
      </w:tblGrid>
      <w:tr w:rsidR="00B32DFD">
        <w:trPr>
          <w:trHeight w:val="46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2DFD" w:rsidRDefault="00300B11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sz w:val="20"/>
              </w:rPr>
              <w:t xml:space="preserve">Rozpočtový rok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2DFD" w:rsidRDefault="00300B11">
            <w:pPr>
              <w:spacing w:after="0" w:line="259" w:lineRule="auto"/>
              <w:ind w:left="0" w:right="46" w:firstLine="0"/>
              <w:jc w:val="center"/>
            </w:pPr>
            <w:r>
              <w:rPr>
                <w:i w:val="0"/>
                <w:sz w:val="20"/>
              </w:rPr>
              <w:t xml:space="preserve">2014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2DFD" w:rsidRDefault="00300B11">
            <w:pPr>
              <w:spacing w:after="0" w:line="259" w:lineRule="auto"/>
              <w:ind w:left="0" w:right="47" w:firstLine="0"/>
              <w:jc w:val="center"/>
            </w:pPr>
            <w:r>
              <w:rPr>
                <w:i w:val="0"/>
                <w:sz w:val="20"/>
              </w:rPr>
              <w:t xml:space="preserve">2015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2DFD" w:rsidRDefault="00300B11">
            <w:pPr>
              <w:spacing w:after="0" w:line="259" w:lineRule="auto"/>
              <w:ind w:left="0" w:right="44" w:firstLine="0"/>
              <w:jc w:val="center"/>
            </w:pPr>
            <w:r>
              <w:rPr>
                <w:i w:val="0"/>
                <w:sz w:val="20"/>
              </w:rPr>
              <w:t xml:space="preserve">2016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2DFD" w:rsidRDefault="00300B11">
            <w:pPr>
              <w:spacing w:after="0" w:line="259" w:lineRule="auto"/>
              <w:ind w:left="0" w:right="44" w:firstLine="0"/>
              <w:jc w:val="center"/>
            </w:pPr>
            <w:r>
              <w:rPr>
                <w:i w:val="0"/>
                <w:sz w:val="20"/>
              </w:rPr>
              <w:t xml:space="preserve">2017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2DFD" w:rsidRDefault="00300B11">
            <w:pPr>
              <w:spacing w:after="0" w:line="259" w:lineRule="auto"/>
              <w:ind w:left="0" w:right="41" w:firstLine="0"/>
              <w:jc w:val="center"/>
            </w:pPr>
            <w:r>
              <w:rPr>
                <w:i w:val="0"/>
                <w:sz w:val="20"/>
              </w:rPr>
              <w:t xml:space="preserve">2018 </w:t>
            </w:r>
          </w:p>
        </w:tc>
      </w:tr>
      <w:tr w:rsidR="00B32DFD">
        <w:trPr>
          <w:trHeight w:val="468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32DFD" w:rsidRDefault="00300B11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sz w:val="20"/>
              </w:rPr>
              <w:t xml:space="preserve">Počet poberateľov celkom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FD" w:rsidRDefault="00300B11">
            <w:pPr>
              <w:spacing w:after="0" w:line="259" w:lineRule="auto"/>
              <w:ind w:left="0" w:right="47" w:firstLine="0"/>
              <w:jc w:val="center"/>
            </w:pPr>
            <w:r>
              <w:rPr>
                <w:i w:val="0"/>
                <w:sz w:val="20"/>
              </w:rPr>
              <w:t xml:space="preserve">162 904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FD" w:rsidRDefault="00300B11">
            <w:pPr>
              <w:spacing w:after="0" w:line="259" w:lineRule="auto"/>
              <w:ind w:left="0" w:right="48" w:firstLine="0"/>
              <w:jc w:val="center"/>
            </w:pPr>
            <w:r>
              <w:rPr>
                <w:i w:val="0"/>
                <w:sz w:val="20"/>
              </w:rPr>
              <w:t xml:space="preserve">128 040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FD" w:rsidRDefault="00300B11">
            <w:pPr>
              <w:spacing w:after="0" w:line="259" w:lineRule="auto"/>
              <w:ind w:left="0" w:right="45" w:firstLine="0"/>
              <w:jc w:val="center"/>
            </w:pPr>
            <w:r>
              <w:rPr>
                <w:i w:val="0"/>
                <w:sz w:val="20"/>
              </w:rPr>
              <w:t xml:space="preserve">105 590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FD" w:rsidRDefault="00300B11">
            <w:pPr>
              <w:spacing w:after="0" w:line="259" w:lineRule="auto"/>
              <w:ind w:left="0" w:right="45" w:firstLine="0"/>
              <w:jc w:val="center"/>
            </w:pPr>
            <w:r>
              <w:rPr>
                <w:i w:val="0"/>
                <w:sz w:val="20"/>
              </w:rPr>
              <w:t xml:space="preserve">87 727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FD" w:rsidRDefault="00300B11">
            <w:pPr>
              <w:spacing w:after="0" w:line="259" w:lineRule="auto"/>
              <w:ind w:left="0" w:right="42" w:firstLine="0"/>
              <w:jc w:val="center"/>
            </w:pPr>
            <w:r>
              <w:rPr>
                <w:i w:val="0"/>
                <w:sz w:val="20"/>
              </w:rPr>
              <w:t xml:space="preserve">72 024 </w:t>
            </w:r>
          </w:p>
        </w:tc>
      </w:tr>
      <w:tr w:rsidR="00B32DFD">
        <w:trPr>
          <w:trHeight w:val="468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32DFD" w:rsidRDefault="00300B11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sz w:val="20"/>
              </w:rPr>
              <w:t xml:space="preserve">z toho </w:t>
            </w:r>
            <w:proofErr w:type="spellStart"/>
            <w:r>
              <w:rPr>
                <w:i w:val="0"/>
                <w:sz w:val="20"/>
              </w:rPr>
              <w:t>UoZ</w:t>
            </w:r>
            <w:proofErr w:type="spellEnd"/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FD" w:rsidRDefault="00300B11">
            <w:pPr>
              <w:spacing w:after="0" w:line="259" w:lineRule="auto"/>
              <w:ind w:left="0" w:right="47" w:firstLine="0"/>
              <w:jc w:val="center"/>
            </w:pPr>
            <w:r>
              <w:rPr>
                <w:i w:val="0"/>
                <w:sz w:val="20"/>
              </w:rPr>
              <w:t xml:space="preserve">114 482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FD" w:rsidRDefault="00300B11">
            <w:pPr>
              <w:spacing w:after="0" w:line="259" w:lineRule="auto"/>
              <w:ind w:left="0" w:right="47" w:firstLine="0"/>
              <w:jc w:val="center"/>
            </w:pPr>
            <w:r>
              <w:rPr>
                <w:i w:val="0"/>
                <w:sz w:val="20"/>
              </w:rPr>
              <w:t xml:space="preserve">93 034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FD" w:rsidRDefault="00300B11">
            <w:pPr>
              <w:spacing w:after="0" w:line="259" w:lineRule="auto"/>
              <w:ind w:left="0" w:right="45" w:firstLine="0"/>
              <w:jc w:val="center"/>
            </w:pPr>
            <w:r>
              <w:rPr>
                <w:i w:val="0"/>
                <w:sz w:val="20"/>
              </w:rPr>
              <w:t xml:space="preserve">74 528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FD" w:rsidRDefault="00300B11">
            <w:pPr>
              <w:spacing w:after="0" w:line="259" w:lineRule="auto"/>
              <w:ind w:left="0" w:right="45" w:firstLine="0"/>
              <w:jc w:val="center"/>
            </w:pPr>
            <w:r>
              <w:rPr>
                <w:i w:val="0"/>
                <w:sz w:val="20"/>
              </w:rPr>
              <w:t xml:space="preserve">57 725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FD" w:rsidRDefault="00300B11">
            <w:pPr>
              <w:spacing w:after="0" w:line="259" w:lineRule="auto"/>
              <w:ind w:left="0" w:right="42" w:firstLine="0"/>
              <w:jc w:val="center"/>
            </w:pPr>
            <w:r>
              <w:rPr>
                <w:i w:val="0"/>
                <w:sz w:val="20"/>
              </w:rPr>
              <w:t xml:space="preserve">44 040 </w:t>
            </w:r>
          </w:p>
        </w:tc>
      </w:tr>
      <w:tr w:rsidR="00B32DFD">
        <w:trPr>
          <w:trHeight w:val="75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32DFD" w:rsidRDefault="00300B11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sz w:val="20"/>
              </w:rPr>
              <w:t xml:space="preserve">Počet spoločne posudzovaných členov domácnosti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FD" w:rsidRDefault="00300B11">
            <w:pPr>
              <w:spacing w:after="0" w:line="259" w:lineRule="auto"/>
              <w:ind w:left="0" w:right="47" w:firstLine="0"/>
              <w:jc w:val="center"/>
            </w:pPr>
            <w:r>
              <w:rPr>
                <w:i w:val="0"/>
                <w:sz w:val="20"/>
              </w:rPr>
              <w:t xml:space="preserve">323 223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FD" w:rsidRDefault="00300B11">
            <w:pPr>
              <w:spacing w:after="0" w:line="259" w:lineRule="auto"/>
              <w:ind w:left="0" w:right="48" w:firstLine="0"/>
              <w:jc w:val="center"/>
            </w:pPr>
            <w:r>
              <w:rPr>
                <w:i w:val="0"/>
                <w:sz w:val="20"/>
              </w:rPr>
              <w:t xml:space="preserve">266 129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FD" w:rsidRDefault="00300B11">
            <w:pPr>
              <w:spacing w:after="0" w:line="259" w:lineRule="auto"/>
              <w:ind w:left="0" w:right="45" w:firstLine="0"/>
              <w:jc w:val="center"/>
            </w:pPr>
            <w:r>
              <w:rPr>
                <w:i w:val="0"/>
                <w:sz w:val="20"/>
              </w:rPr>
              <w:t xml:space="preserve">226 438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FD" w:rsidRDefault="00300B11">
            <w:pPr>
              <w:spacing w:after="0" w:line="259" w:lineRule="auto"/>
              <w:ind w:left="0" w:right="45" w:firstLine="0"/>
              <w:jc w:val="center"/>
            </w:pPr>
            <w:r>
              <w:rPr>
                <w:i w:val="0"/>
                <w:sz w:val="20"/>
              </w:rPr>
              <w:t xml:space="preserve">192 677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FD" w:rsidRDefault="00300B11">
            <w:pPr>
              <w:spacing w:after="0" w:line="259" w:lineRule="auto"/>
              <w:ind w:left="0" w:right="42" w:firstLine="0"/>
              <w:jc w:val="center"/>
            </w:pPr>
            <w:r>
              <w:rPr>
                <w:i w:val="0"/>
                <w:sz w:val="20"/>
              </w:rPr>
              <w:t xml:space="preserve">160 212 </w:t>
            </w:r>
          </w:p>
        </w:tc>
      </w:tr>
      <w:tr w:rsidR="00B32DFD">
        <w:trPr>
          <w:trHeight w:val="468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32DFD" w:rsidRDefault="00300B11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sz w:val="20"/>
              </w:rPr>
              <w:t xml:space="preserve">z toho </w:t>
            </w:r>
            <w:proofErr w:type="spellStart"/>
            <w:r>
              <w:rPr>
                <w:i w:val="0"/>
                <w:sz w:val="20"/>
              </w:rPr>
              <w:t>UoZ</w:t>
            </w:r>
            <w:proofErr w:type="spellEnd"/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FD" w:rsidRDefault="00300B11">
            <w:pPr>
              <w:spacing w:after="0" w:line="259" w:lineRule="auto"/>
              <w:ind w:left="0" w:right="47" w:firstLine="0"/>
              <w:jc w:val="center"/>
            </w:pPr>
            <w:r>
              <w:rPr>
                <w:i w:val="0"/>
                <w:sz w:val="20"/>
              </w:rPr>
              <w:t xml:space="preserve">151 700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FD" w:rsidRDefault="00300B11">
            <w:pPr>
              <w:spacing w:after="0" w:line="259" w:lineRule="auto"/>
              <w:ind w:left="0" w:right="48" w:firstLine="0"/>
              <w:jc w:val="center"/>
            </w:pPr>
            <w:r>
              <w:rPr>
                <w:i w:val="0"/>
                <w:sz w:val="20"/>
              </w:rPr>
              <w:t xml:space="preserve">125 032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FD" w:rsidRDefault="00300B11">
            <w:pPr>
              <w:spacing w:after="0" w:line="259" w:lineRule="auto"/>
              <w:ind w:left="0" w:right="45" w:firstLine="0"/>
              <w:jc w:val="center"/>
            </w:pPr>
            <w:r>
              <w:rPr>
                <w:i w:val="0"/>
                <w:sz w:val="20"/>
              </w:rPr>
              <w:t xml:space="preserve">100 359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FD" w:rsidRDefault="00300B11">
            <w:pPr>
              <w:spacing w:after="0" w:line="259" w:lineRule="auto"/>
              <w:ind w:left="0" w:right="45" w:firstLine="0"/>
              <w:jc w:val="center"/>
            </w:pPr>
            <w:r>
              <w:rPr>
                <w:i w:val="0"/>
                <w:sz w:val="20"/>
              </w:rPr>
              <w:t xml:space="preserve">77 916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FD" w:rsidRDefault="00300B11">
            <w:pPr>
              <w:spacing w:after="0" w:line="259" w:lineRule="auto"/>
              <w:ind w:left="0" w:right="42" w:firstLine="0"/>
              <w:jc w:val="center"/>
            </w:pPr>
            <w:r>
              <w:rPr>
                <w:i w:val="0"/>
                <w:sz w:val="20"/>
              </w:rPr>
              <w:t xml:space="preserve">59 002 </w:t>
            </w:r>
          </w:p>
        </w:tc>
      </w:tr>
      <w:tr w:rsidR="00B32DFD">
        <w:trPr>
          <w:trHeight w:val="50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32DFD" w:rsidRDefault="00300B11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sz w:val="20"/>
              </w:rPr>
              <w:t xml:space="preserve">Poskytnuté finančné prostriedky celkom v eur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FD" w:rsidRDefault="00300B11">
            <w:pPr>
              <w:spacing w:after="0" w:line="259" w:lineRule="auto"/>
              <w:ind w:left="38" w:right="0" w:firstLine="0"/>
              <w:jc w:val="left"/>
            </w:pPr>
            <w:r>
              <w:rPr>
                <w:i w:val="0"/>
                <w:sz w:val="20"/>
              </w:rPr>
              <w:t xml:space="preserve">245 903 547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FD" w:rsidRDefault="00300B11">
            <w:pPr>
              <w:spacing w:after="0" w:line="259" w:lineRule="auto"/>
              <w:ind w:left="29" w:right="0" w:firstLine="0"/>
              <w:jc w:val="left"/>
            </w:pPr>
            <w:r>
              <w:rPr>
                <w:i w:val="0"/>
                <w:sz w:val="20"/>
              </w:rPr>
              <w:t xml:space="preserve">213 685 797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FD" w:rsidRDefault="00300B11">
            <w:pPr>
              <w:spacing w:after="0" w:line="259" w:lineRule="auto"/>
              <w:ind w:left="5" w:right="0" w:firstLine="0"/>
              <w:jc w:val="left"/>
            </w:pPr>
            <w:r>
              <w:rPr>
                <w:i w:val="0"/>
                <w:sz w:val="20"/>
              </w:rPr>
              <w:t xml:space="preserve">183 004 863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FD" w:rsidRDefault="00300B11">
            <w:pPr>
              <w:spacing w:after="0" w:line="259" w:lineRule="auto"/>
              <w:ind w:left="0" w:right="46" w:firstLine="0"/>
              <w:jc w:val="center"/>
            </w:pPr>
            <w:r>
              <w:rPr>
                <w:i w:val="0"/>
                <w:sz w:val="20"/>
              </w:rPr>
              <w:t xml:space="preserve">154 499 735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FD" w:rsidRDefault="00300B11">
            <w:pPr>
              <w:spacing w:after="0" w:line="259" w:lineRule="auto"/>
              <w:ind w:left="0" w:right="43" w:firstLine="0"/>
              <w:jc w:val="center"/>
            </w:pPr>
            <w:r>
              <w:rPr>
                <w:i w:val="0"/>
                <w:sz w:val="20"/>
              </w:rPr>
              <w:t xml:space="preserve">126 251 149 </w:t>
            </w:r>
          </w:p>
        </w:tc>
      </w:tr>
      <w:tr w:rsidR="00B32DFD">
        <w:trPr>
          <w:trHeight w:val="505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32DFD" w:rsidRDefault="00300B11">
            <w:pPr>
              <w:spacing w:after="0" w:line="259" w:lineRule="auto"/>
              <w:ind w:left="0" w:right="0" w:firstLine="0"/>
              <w:jc w:val="left"/>
            </w:pPr>
            <w:r>
              <w:rPr>
                <w:i w:val="0"/>
                <w:sz w:val="20"/>
              </w:rPr>
              <w:t xml:space="preserve">Priemerná výška dávky a príspevkov k dávke v eur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FD" w:rsidRDefault="00300B11">
            <w:pPr>
              <w:spacing w:after="0" w:line="259" w:lineRule="auto"/>
              <w:ind w:left="0" w:right="47" w:firstLine="0"/>
              <w:jc w:val="center"/>
            </w:pPr>
            <w:r>
              <w:rPr>
                <w:i w:val="0"/>
                <w:sz w:val="20"/>
              </w:rPr>
              <w:t xml:space="preserve">124,99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FD" w:rsidRDefault="00300B11">
            <w:pPr>
              <w:spacing w:after="0" w:line="259" w:lineRule="auto"/>
              <w:ind w:left="0" w:right="47" w:firstLine="0"/>
              <w:jc w:val="center"/>
            </w:pPr>
            <w:r>
              <w:rPr>
                <w:i w:val="0"/>
                <w:sz w:val="20"/>
              </w:rPr>
              <w:t xml:space="preserve">130,86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FD" w:rsidRDefault="00300B11">
            <w:pPr>
              <w:spacing w:after="0" w:line="259" w:lineRule="auto"/>
              <w:ind w:left="0" w:right="45" w:firstLine="0"/>
              <w:jc w:val="center"/>
            </w:pPr>
            <w:r>
              <w:rPr>
                <w:i w:val="0"/>
                <w:sz w:val="20"/>
              </w:rPr>
              <w:t xml:space="preserve">133,68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FD" w:rsidRDefault="00300B11">
            <w:pPr>
              <w:spacing w:after="0" w:line="259" w:lineRule="auto"/>
              <w:ind w:left="0" w:right="45" w:firstLine="0"/>
              <w:jc w:val="center"/>
            </w:pPr>
            <w:r>
              <w:rPr>
                <w:i w:val="0"/>
                <w:sz w:val="20"/>
              </w:rPr>
              <w:t xml:space="preserve">134,60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FD" w:rsidRDefault="00300B11">
            <w:pPr>
              <w:spacing w:after="0" w:line="259" w:lineRule="auto"/>
              <w:ind w:left="0" w:right="42" w:firstLine="0"/>
              <w:jc w:val="center"/>
            </w:pPr>
            <w:r>
              <w:rPr>
                <w:i w:val="0"/>
                <w:sz w:val="20"/>
              </w:rPr>
              <w:t xml:space="preserve">134,19 </w:t>
            </w:r>
          </w:p>
        </w:tc>
      </w:tr>
    </w:tbl>
    <w:p w:rsidR="00B32DFD" w:rsidRDefault="00300B11">
      <w:pPr>
        <w:spacing w:after="41" w:line="259" w:lineRule="auto"/>
        <w:ind w:left="142" w:right="0" w:firstLine="0"/>
        <w:jc w:val="left"/>
      </w:pPr>
      <w:r>
        <w:rPr>
          <w:i w:val="0"/>
        </w:rPr>
        <w:t xml:space="preserve"> </w:t>
      </w:r>
    </w:p>
    <w:p w:rsidR="00B32DFD" w:rsidRDefault="00300B11">
      <w:pPr>
        <w:spacing w:after="50" w:line="271" w:lineRule="auto"/>
        <w:ind w:left="137" w:right="0"/>
      </w:pPr>
      <w:r>
        <w:rPr>
          <w:i w:val="0"/>
        </w:rPr>
        <w:t>Ústredie práce, sociálnych vecí a rodiny (ďalej len „Ústredie“) vecne príslušným odborom, a to Odborom pomoci hmotnej núdzi a štátnych sociálnych dávok vo veci pomoci v hmotnej núdzi a náhradného výživného:</w:t>
      </w:r>
      <w:r>
        <w:t xml:space="preserve"> </w:t>
      </w:r>
    </w:p>
    <w:p w:rsidR="00B32DFD" w:rsidRDefault="00300B11">
      <w:pPr>
        <w:numPr>
          <w:ilvl w:val="0"/>
          <w:numId w:val="2"/>
        </w:numPr>
        <w:spacing w:after="32" w:line="271" w:lineRule="auto"/>
        <w:ind w:right="0" w:hanging="360"/>
      </w:pPr>
      <w:r>
        <w:rPr>
          <w:i w:val="0"/>
        </w:rPr>
        <w:t xml:space="preserve">v </w:t>
      </w:r>
      <w:r>
        <w:rPr>
          <w:i w:val="0"/>
        </w:rPr>
        <w:t xml:space="preserve">roku 2014 vybavilo 952 odvolaní, v odvolacom konaní vydalo 831 rozhodnutí a 135 odvolaní vybavilo listom </w:t>
      </w:r>
    </w:p>
    <w:p w:rsidR="00B32DFD" w:rsidRDefault="00300B11">
      <w:pPr>
        <w:numPr>
          <w:ilvl w:val="0"/>
          <w:numId w:val="2"/>
        </w:numPr>
        <w:spacing w:after="3" w:line="271" w:lineRule="auto"/>
        <w:ind w:right="0" w:hanging="360"/>
      </w:pPr>
      <w:r>
        <w:rPr>
          <w:i w:val="0"/>
        </w:rPr>
        <w:t xml:space="preserve">v roku 2015 vybavilo 2 076 odvolaní a 236 odvolaní listom </w:t>
      </w:r>
    </w:p>
    <w:p w:rsidR="00B32DFD" w:rsidRDefault="00300B11">
      <w:pPr>
        <w:numPr>
          <w:ilvl w:val="0"/>
          <w:numId w:val="2"/>
        </w:numPr>
        <w:spacing w:after="3" w:line="271" w:lineRule="auto"/>
        <w:ind w:right="0" w:hanging="360"/>
      </w:pPr>
      <w:r>
        <w:rPr>
          <w:i w:val="0"/>
        </w:rPr>
        <w:t xml:space="preserve">v roku 2016 vybavilo 883 odvolaní  a 108 odvolaní listom </w:t>
      </w:r>
    </w:p>
    <w:p w:rsidR="00B32DFD" w:rsidRDefault="00300B11">
      <w:pPr>
        <w:numPr>
          <w:ilvl w:val="0"/>
          <w:numId w:val="2"/>
        </w:numPr>
        <w:spacing w:after="3" w:line="271" w:lineRule="auto"/>
        <w:ind w:right="0" w:hanging="360"/>
      </w:pPr>
      <w:r>
        <w:rPr>
          <w:i w:val="0"/>
        </w:rPr>
        <w:t>v roku 2017 vybavilo 756 odvolaní</w:t>
      </w:r>
      <w:r>
        <w:rPr>
          <w:i w:val="0"/>
        </w:rPr>
        <w:t xml:space="preserve"> a 94 odvolaní listom </w:t>
      </w:r>
    </w:p>
    <w:p w:rsidR="00B32DFD" w:rsidRDefault="00300B11">
      <w:pPr>
        <w:numPr>
          <w:ilvl w:val="0"/>
          <w:numId w:val="2"/>
        </w:numPr>
        <w:spacing w:after="3" w:line="271" w:lineRule="auto"/>
        <w:ind w:right="0" w:hanging="360"/>
      </w:pPr>
      <w:r>
        <w:rPr>
          <w:i w:val="0"/>
        </w:rPr>
        <w:t>v roku 2018 vybavilo 621 odvolaní, 74 odvolaní listom a 18 vyjadrení k žalobám</w:t>
      </w:r>
    </w:p>
    <w:p w:rsidR="00B32DFD" w:rsidRDefault="00300B11">
      <w:pPr>
        <w:spacing w:after="327" w:line="271" w:lineRule="auto"/>
        <w:ind w:left="137" w:right="0"/>
      </w:pPr>
      <w:r>
        <w:rPr>
          <w:i w:val="0"/>
        </w:rPr>
        <w:t xml:space="preserve">V súlade s článkom 2 body 5 Zmluvy vytvorila Európska komisia Vzájomný informačný systém o sociálnej ochrane EÚ (ďalej len </w:t>
      </w:r>
      <w:r>
        <w:t>„</w:t>
      </w:r>
      <w:r>
        <w:rPr>
          <w:i w:val="0"/>
        </w:rPr>
        <w:t>MISSOC</w:t>
      </w:r>
      <w:r>
        <w:t>“</w:t>
      </w:r>
      <w:r>
        <w:rPr>
          <w:i w:val="0"/>
        </w:rPr>
        <w:t xml:space="preserve">), ktorý poskytuje podrobné, porovnateľné a pravidelne aktualizované informácie o vnútroštátnych systémoch sociálnej ochrany. MISSOC </w:t>
      </w:r>
      <w:r>
        <w:rPr>
          <w:i w:val="0"/>
        </w:rPr>
        <w:lastRenderedPageBreak/>
        <w:t>dvakrát ročne (v januári a v júli) uverejňuje aktualizované informácie o systémoch sociálnej ochrany v 28 členských štátoch</w:t>
      </w:r>
      <w:r>
        <w:rPr>
          <w:i w:val="0"/>
        </w:rPr>
        <w:t xml:space="preserve"> a na Islande, v Lichtenštajnsku, v Nórsku a vo Švajčiarsku vrátane: porovnávacích tabuliek, ktoré zahŕňajú 12 hlavných oblastí sociálnej ochrany, medzi ktorým sú aj príspevky na životné minimum spolu s organizačných schémami a krátkymi opismi systémov soc</w:t>
      </w:r>
      <w:r>
        <w:rPr>
          <w:i w:val="0"/>
        </w:rPr>
        <w:t>iálnej ochrany v 32 zúčastnených krajinách. MISSOC zároveň každý rok aktualizuje série príručiek o vnútroštátnych systémoch sociálneho zabezpečenia určené pre občanov, ktorí menia bydlisko v rámci Európy. Z porovnávacích tabuliek MISSOC nie je jasne vymedz</w:t>
      </w:r>
      <w:r>
        <w:rPr>
          <w:i w:val="0"/>
        </w:rPr>
        <w:t xml:space="preserve">ené za žiadnu z jednotlivých krajín v časti o zabezpečení minimálnych zdrojov právna úprava uplatnenia výnimky z posudzovania majetku spoločnej domácnosti na základe vzniku pracovného pomeru jej člena na kratší pracovný čas. </w:t>
      </w:r>
    </w:p>
    <w:p w:rsidR="00B32DFD" w:rsidRDefault="00300B11">
      <w:pPr>
        <w:pStyle w:val="Nadpis2"/>
        <w:ind w:left="693" w:hanging="566"/>
      </w:pPr>
      <w:r>
        <w:t>Výklad právneho základu analýz</w:t>
      </w:r>
      <w:r>
        <w:t xml:space="preserve">y </w:t>
      </w:r>
    </w:p>
    <w:p w:rsidR="00B32DFD" w:rsidRDefault="00300B11">
      <w:pPr>
        <w:spacing w:after="51" w:line="259" w:lineRule="auto"/>
        <w:ind w:left="708" w:right="0" w:firstLine="0"/>
        <w:jc w:val="left"/>
      </w:pPr>
      <w:r>
        <w:rPr>
          <w:b/>
          <w:i w:val="0"/>
        </w:rPr>
        <w:t xml:space="preserve"> </w:t>
      </w:r>
    </w:p>
    <w:p w:rsidR="00B32DFD" w:rsidRDefault="00300B11">
      <w:pPr>
        <w:ind w:left="137" w:right="-8"/>
      </w:pPr>
      <w:proofErr w:type="spellStart"/>
      <w:r>
        <w:rPr>
          <w:i w:val="0"/>
        </w:rPr>
        <w:t>Drgonec</w:t>
      </w:r>
      <w:proofErr w:type="spellEnd"/>
      <w:r>
        <w:rPr>
          <w:i w:val="0"/>
          <w:vertAlign w:val="superscript"/>
        </w:rPr>
        <w:footnoteReference w:id="1"/>
      </w:r>
      <w:r>
        <w:rPr>
          <w:i w:val="0"/>
        </w:rPr>
        <w:t xml:space="preserve"> k článku 39 ods. 4 Ústavy uvádza: </w:t>
      </w:r>
      <w:r>
        <w:t xml:space="preserve">„Predpokladom pre získanie postavenia subjektu ochrany podľa čl. 39 ods. 2 Ústavy nie je štátna príslušnosť k SR. Podmienkou vzniku práva podľa čl. 39 ods. 4 je hmotná núdza. Každý, kto splní túto podmienku, </w:t>
      </w:r>
      <w:r>
        <w:t>má právo na pomoc, ktorá je nevyhnutná na zabezpečenie základných životných podmienok. Rozsah pomoci nezávisí od individuálnych predstáv a potrieb oprávnenej osoby, ale od spoločnosťou akceptovaného hodnotenia, ktoré životné podmienky sú základné a ktoré o</w:t>
      </w:r>
      <w:r>
        <w:t xml:space="preserve">patrenia sú nevyhnutné na ich zabezpečenie. Vykonávacím zákonom k čl. 39 ods. 4 je zákon č. 417/2013 Z. z. o pomoci v hmotnej núdzi a o zmene a doplnení niektorých zákonov v znení neskorších predpisov.“ </w:t>
      </w:r>
    </w:p>
    <w:p w:rsidR="00B32DFD" w:rsidRDefault="00300B1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32DFD" w:rsidRDefault="00300B11">
      <w:pPr>
        <w:ind w:left="137" w:right="-8"/>
      </w:pPr>
      <w:r>
        <w:t>„</w:t>
      </w:r>
      <w:r>
        <w:t>Ústavný súd na margo úpravy ustanovenej týmto zákonom uviedol: „(...) dávka v hmotnej núdzi, ktorá sa poskytuje za podmienok uvedených v § 10 zákona o hmotnej núdzi, nie je jediným a výlučným prostriedkom sociálneho systému, ktorého cieľom je naplnenie obs</w:t>
      </w:r>
      <w:r>
        <w:t>ahu základného práva garantovaného čl. 39 ods. 2 ústavy. Zákon o hmotnej núdzi poskytuje možnosť priznať aj iné príspevky na účely sociálnej ochrany v hmotnej núdzi, konkrétne ochranný príspevok, aktivačný príspevok, príspevok na nezaopatrené dieťa alebo p</w:t>
      </w:r>
      <w:r>
        <w:t>ríspevok na bývanie, taktiež ďalšie plnenia možno uplatniť na základe zákona č. 448/2008 Z. z. o sociálnych službách a o zmene a doplnení zákona č. 455/1991 Zb. o živnostenskom podnikaní (živnostenský zákon) v znení neskorších predpisov. Aj keď v rámci tej</w:t>
      </w:r>
      <w:r>
        <w:t>to argumentácie treba prisvedčiť i navrhovateľom, že práve dávka v hmotnej núdzi je najčastejším prostriedkom a poslednou sociálnou sieťou ochrany cez ďalšie inštitúty sociálnej pomoci, najmä v prípadoch spoločného posudzovania viacerých členov domácnosti.</w:t>
      </w:r>
      <w:r>
        <w:t>“</w:t>
      </w:r>
      <w:r>
        <w:rPr>
          <w:i w:val="0"/>
        </w:rPr>
        <w:t xml:space="preserve"> </w:t>
      </w:r>
    </w:p>
    <w:p w:rsidR="00B32DFD" w:rsidRDefault="00300B11">
      <w:pPr>
        <w:spacing w:after="0" w:line="259" w:lineRule="auto"/>
        <w:ind w:left="708" w:right="0" w:firstLine="0"/>
        <w:jc w:val="left"/>
      </w:pPr>
      <w:r>
        <w:rPr>
          <w:i w:val="0"/>
        </w:rPr>
        <w:t xml:space="preserve"> </w:t>
      </w:r>
    </w:p>
    <w:p w:rsidR="00B32DFD" w:rsidRDefault="00300B11">
      <w:pPr>
        <w:spacing w:after="227"/>
        <w:ind w:left="137" w:right="-8"/>
      </w:pPr>
      <w:r>
        <w:t>„Právo na pomoc v hmotnej núdzi, ktoré je potrebné na zabezpečenie základných životných potrieb podľa čl. 39 v spojení s čl. 51 ods. 1 ústavy, treba vykladať ako príkaz právnemu štátu poskytnúť reálnu možnosť každému (nielen občanom Slovenskej republi</w:t>
      </w:r>
      <w:r>
        <w:t xml:space="preserve">ky), kto sa ocitne v stave hmotnej núdze definovanej zákonom, zaistiť si pomoc aspoň na zabezpečenie minimálnych </w:t>
      </w:r>
    </w:p>
    <w:p w:rsidR="00B32DFD" w:rsidRDefault="00300B11">
      <w:pPr>
        <w:spacing w:after="0" w:line="259" w:lineRule="auto"/>
        <w:ind w:left="142" w:right="0" w:firstLine="0"/>
        <w:jc w:val="left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>
                <wp:extent cx="1829054" cy="9144"/>
                <wp:effectExtent l="0" t="0" r="0" b="0"/>
                <wp:docPr id="15342" name="Group 15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16989" name="Shape 16989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42" style="width:144.02pt;height:0.720032pt;mso-position-horizontal-relative:char;mso-position-vertical-relative:line" coordsize="18290,91">
                <v:shape id="Shape 16990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p w:rsidR="00B32DFD" w:rsidRDefault="00300B11">
      <w:pPr>
        <w:ind w:left="137" w:right="-8"/>
      </w:pPr>
      <w:r>
        <w:lastRenderedPageBreak/>
        <w:t>životných potrieb, ktorými sa podľa zákona o hmotnej núdzi rozumejú jedno teplé jedlo denne, nevyhnutné ošatenie a prístrešie. Z pohľadu ús</w:t>
      </w:r>
      <w:r>
        <w:t>tavného súdu však nie je v rozpore s ústavným príkazom vyjadreným v čl. 39 ods. 2 ústavy vyžadovať aktívnu participáciu osôb na zabezpečovaní ich základných životných potrieb, pokiaľ požadované činnosti nebudú neprimerané, neodôvodnené alebo zbytočne zaťaž</w:t>
      </w:r>
      <w:r>
        <w:t xml:space="preserve">ujúce.“ </w:t>
      </w:r>
    </w:p>
    <w:p w:rsidR="00B32DFD" w:rsidRDefault="00300B1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32DFD" w:rsidRDefault="00300B11">
      <w:pPr>
        <w:ind w:left="137" w:right="-8"/>
      </w:pPr>
      <w:r>
        <w:t xml:space="preserve">„K obdobným záverom dospel ústavný súd i v inej veci v súvislosti s posudzovaním podstaty obdobnej dávky sociálnej pomoci podľa zákona Národnej rady Slovenskej republiky č. 599/2003 Z. z. o pomoci v hmotnej núdzi a o zmene a doplnení niektorých </w:t>
      </w:r>
      <w:r>
        <w:t>zákonov v znení neskorších predpisov, keď vyslovil, že dávka sociálnej pomoci, ktorá je určená na „pomoc“ v hmotnej núdzi fyzickej osobe a s ňou spoločne posudzovaným osobám, má zabezpečiť základné životné podmienky tejto fyzickej osoby a s ňou spoločne po</w:t>
      </w:r>
      <w:r>
        <w:t>sudzovaných osôb za ich prispenia a aktívnej účasti (</w:t>
      </w:r>
      <w:proofErr w:type="spellStart"/>
      <w:r>
        <w:t>Pl</w:t>
      </w:r>
      <w:proofErr w:type="spellEnd"/>
      <w:r>
        <w:t xml:space="preserve">. ÚS 3/04).“ </w:t>
      </w:r>
    </w:p>
    <w:p w:rsidR="00B32DFD" w:rsidRDefault="00300B11">
      <w:pPr>
        <w:spacing w:after="0" w:line="259" w:lineRule="auto"/>
        <w:ind w:left="708" w:right="0" w:firstLine="0"/>
        <w:jc w:val="left"/>
      </w:pPr>
      <w:r>
        <w:rPr>
          <w:i w:val="0"/>
        </w:rPr>
        <w:t xml:space="preserve"> </w:t>
      </w:r>
    </w:p>
    <w:p w:rsidR="00B32DFD" w:rsidRDefault="00300B11">
      <w:pPr>
        <w:ind w:left="137" w:right="-8"/>
      </w:pPr>
      <w:r>
        <w:t>„Zákon o hmotnej núdzi požaduje výkon činností v rozsahu najviac 32 hodín mesačne, pričom prioritne ponecháva aktivitu na potenciálnom poberateľovi dávky (dobrovoľnícka činnosť) a až ná</w:t>
      </w:r>
      <w:r>
        <w:t>sledne je povinná osoba povinná podriadiť sa ponuke na výkon menších obecných služieb, ktoré mu budú ponúknuté. Pre posúdenie proporcionality takejto požiadavky je relevantné, že zákonodarca z tejto povinnosti vyňal osoby, ktoré sa nemôžu plnohodnotne zúča</w:t>
      </w:r>
      <w:r>
        <w:t>stniť na výkone požadovaných činností z objektívnych a zákonom predpokladaných dôvodov, akými sú vek, invalidita, zlý zdravotný stav, starostlivosť o závislého člena rodiny, a taktiež osoby, ktoré sa aktívne snažia zabezpečiť svoje životné potreby iným spô</w:t>
      </w:r>
      <w:r>
        <w:t xml:space="preserve">sobom, napríklad výkonom absolventskej praxe (§ 10 ods. 8 zákona o hmotnej núdzi). Takéto vyčlenenie skupín (...) na základe v zákone o hmotnej núdzi uvedených dôvodov je ústavne akceptovateľné.“ </w:t>
      </w:r>
    </w:p>
    <w:p w:rsidR="00B32DFD" w:rsidRDefault="00300B1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32DFD" w:rsidRDefault="00300B11">
      <w:pPr>
        <w:ind w:left="137" w:right="-8"/>
      </w:pPr>
      <w:r>
        <w:t>„Ak cieľom napádanej právnej úpravy bolo zvýšiť efektivit</w:t>
      </w:r>
      <w:r>
        <w:t>u a adresnosť poskytovania štátnych finančných prostriedkov, aktivovať občanov v hmotnej núdzi a posilniť ich motiváciu pracovať, prvoradá je pozitívna motivácia takýchto osôb na výkon požadovaných činností. Ústavný súd konštatuje, že pomer časového rozsah</w:t>
      </w:r>
      <w:r>
        <w:t>u činností a výšky potenciálne krátenej dávky v hmotnej núdzi je pod hranicou hodinovej minimálnej mzdy, avšak i s ohľadom na okolnosť, že požiadavka na výkon menších obecných služieb podľa § 10 ods. 3 zákona o hmotnej núdzi nezakladá pracovnoprávny vzťah,</w:t>
      </w:r>
      <w:r>
        <w:t xml:space="preserve"> ústavný súd ju považuje síce za hraničnú, ale ústavne ešte stále akceptovateľnú, najmä z hľadiska jej účelu a cieľa, ktoré treba rešpektovať, pretože v súčasnej dobe sú skutočne relevantné. </w:t>
      </w:r>
    </w:p>
    <w:p w:rsidR="00B32DFD" w:rsidRDefault="00300B11">
      <w:pPr>
        <w:ind w:left="137" w:right="-8"/>
      </w:pPr>
      <w:r>
        <w:t>Na podporu uvedenej argumentácie ústavný súd dodáva, že požadované menšie obecné služby vykonávané potenciálnymi poberateľmi dávky v hmotnej núdzi by mali smerovať k verejnému prospechu a blahu obce a celej komunity, teda aj tej riadne zamestnanej, z ktore</w:t>
      </w:r>
      <w:r>
        <w:t xml:space="preserve">j príjmov sa vytvárajú finančné prostriedky pre uvedené dávky. Táto skutočnosť má z pohľadu ústavného súdu chrániť potenciálnych poberateľov dávky pred neodôvodnenou prácou bez výsledku, či zmyslu, ktorá by vzbudzovala zbytočný pocit dezilúzie.“ </w:t>
      </w:r>
    </w:p>
    <w:p w:rsidR="00B32DFD" w:rsidRDefault="00300B11">
      <w:pPr>
        <w:ind w:left="137" w:right="-8"/>
      </w:pPr>
      <w:r>
        <w:t>V rozhodn</w:t>
      </w:r>
      <w:r>
        <w:t>utiach Ústavného súdu sa k aplikácii čl. 39 ods. 2 uvádza: „Podľa článku 39 ods. 2 druhej hlavy piateho oddielu Ústavy Slovenskej republiky, každý, kto je v hmotnej núdzi, má právo na takú pomoc, ktorá je nevyhnutná na zabezpečenie základných životných pod</w:t>
      </w:r>
      <w:r>
        <w:t xml:space="preserve">mienok. Korešpondujúcou úpravou tohto základného sociálneho práva je článok 30 ods. 2 druhá hlava, druhý oddiel Listiny. Obidva citované články v blanketovej norme svojich odsekov 3 </w:t>
      </w:r>
      <w:r>
        <w:lastRenderedPageBreak/>
        <w:t>splnomocňujú zákon ustanoviť podrobnosti o práve na takú pomoc v hmotnej n</w:t>
      </w:r>
      <w:r>
        <w:t>údzi, ktorá je nevyhnutná na zabezpečenie základných životných podmienok. Týmto zákonom, ako vyplýva z jeho dôvodovej správy, ako aj z odkazu k ustanoveniu § 1, je zákon č. 463/1991 Zb. o životnom minime, ktorý bol vydaný na vykonanie článku 30 ods. 2 List</w:t>
      </w:r>
      <w:r>
        <w:t xml:space="preserve">iny.“ </w:t>
      </w:r>
    </w:p>
    <w:p w:rsidR="00B32DFD" w:rsidRDefault="00300B1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32DFD" w:rsidRDefault="00300B11">
      <w:pPr>
        <w:ind w:left="137" w:right="-8"/>
      </w:pPr>
      <w:r>
        <w:t>„Podľa ustanovenia § 1 zákona o životnom minime hmotnou núdzou je stav, ktorý nastáva pod spoločensky uznanou minimálnou hranicou príjmov občana určených ako životné minimum. Občanom, ktorých príjmy nedosahujú životné minimum a ktorí si nemôžu tie</w:t>
      </w:r>
      <w:r>
        <w:t xml:space="preserve">to príjmy zvýšiť vzhľadom na svoj vek, zdravotný stav alebo z iných vážnych dôvodov vlastným pričinením, najmä vlastnou prácou, sa podľa ustanovenia § 2 tohto zákona poskytuje pomoc. Spôsob a formu poskytovania tejto pomoci ustanovujú osobitné predpisy.“ </w:t>
      </w:r>
    </w:p>
    <w:p w:rsidR="00B32DFD" w:rsidRDefault="00300B1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32DFD" w:rsidRDefault="00300B11">
      <w:pPr>
        <w:ind w:left="137" w:right="-8"/>
      </w:pPr>
      <w:r>
        <w:t>„Osobitným predpisom, podľa ktorého bola sťažovateľovi M. P. poskytnutá pomoc, je zákon č. 100/1988 Zb. o sociálnom zabezpečení v znení zákona č. 110/1990 Zb., ktorým sa mení a dopĺňa zákon č. 100/1988 Zb. a zákon č. 54/1956 Zb. o nemocenskom poistení za</w:t>
      </w:r>
      <w:r>
        <w:t xml:space="preserve">mestnancov, ako aj zákon č. 543/1990 Zb. o štátnej správe sociálneho zabezpečenia. </w:t>
      </w:r>
    </w:p>
    <w:p w:rsidR="00B32DFD" w:rsidRDefault="00300B11">
      <w:pPr>
        <w:ind w:left="137" w:right="-8"/>
      </w:pPr>
      <w:r>
        <w:t>Podľa ustanovenia § 90 ods. 1 zákona o sociálnom zabezpečení občanom, ktorých životné potreby nie sú zabezpečené príjmami zo zárobkovej činnosti alebo inými príjmami, prípa</w:t>
      </w:r>
      <w:r>
        <w:t xml:space="preserve">dne dávkami a národný výbor (potom ich právny nástupca) im nemôže zabezpečiť vhodné zamestnanie, poskytujú národné výbory peňažné a vecné dávky. </w:t>
      </w:r>
    </w:p>
    <w:p w:rsidR="00B32DFD" w:rsidRDefault="00300B11">
      <w:pPr>
        <w:spacing w:after="31"/>
        <w:ind w:left="137" w:right="-8"/>
      </w:pPr>
      <w:r>
        <w:t>Z citovaného ustanovenia, ako aj zo zákona o životnom minime, vyplýva priorita získavania príjmov na zabezpeče</w:t>
      </w:r>
      <w:r>
        <w:t xml:space="preserve">nie životných potrieb zo zárobkovej činnosti, resp. z vlastnej práce.“ </w:t>
      </w:r>
    </w:p>
    <w:p w:rsidR="00B32DFD" w:rsidRDefault="00300B11">
      <w:pPr>
        <w:spacing w:after="0" w:line="259" w:lineRule="auto"/>
        <w:ind w:left="708" w:right="0" w:firstLine="0"/>
        <w:jc w:val="left"/>
      </w:pPr>
      <w:r>
        <w:rPr>
          <w:i w:val="0"/>
        </w:rPr>
        <w:t xml:space="preserve"> </w:t>
      </w:r>
    </w:p>
    <w:p w:rsidR="00B32DFD" w:rsidRDefault="00300B11">
      <w:pPr>
        <w:ind w:left="137" w:right="-8"/>
      </w:pPr>
      <w:r>
        <w:t>„Obidve rozhodnutia štátnych orgánov sociálneho zabezpečenia, ako aj vyjadrenie zástupkyne Obvodného úradu v S., ktorého rozhodnutie je ústavnou sťažnosťou napadnuté, nespochybňujú s</w:t>
      </w:r>
      <w:r>
        <w:t>ociálnu odkázanosť sťažovateľa, resp. jeho možnosť zabezpečiť si vlastnými príjmami uspokojenie základných životných potrieb. Na základe splnenia týchto podmienok mu preto sociálnu peňažnú dávku priznali. Rozhodnutie o priznaní peňažnej dávky vychádzalo vš</w:t>
      </w:r>
      <w:r>
        <w:t>ak z inej premisy ako rozhodnutia o jej odňatí. Kým v rozhodnutí o priznaní dávky bol M. P. posudzovaný ako občan uchádzajúci sa o zamestnanie, teda ako občan, ktorý v súlade s ustanovením § 2 zákona o životnom minime si chcel (a dôkazne to aj preukázal) u</w:t>
      </w:r>
      <w:r>
        <w:t>spokojovať životné potreby príjmami zo zárobkovej činnosti, naproti tomu v rozhodnutí o odňatí peňažnej dávky, vrátane druhostupňového rozhodnutia, je síce tiež posudzovaný ako uchádzač o zamestnanie, ale odňatie tejto dávky je odôvodnené odkazom na možnos</w:t>
      </w:r>
      <w:r>
        <w:t xml:space="preserve">ť rodiča, aby si uplatnil nárok na prídavky na dieťa a na štátny vyrovnávací príspevok.“ </w:t>
      </w:r>
    </w:p>
    <w:p w:rsidR="00B32DFD" w:rsidRDefault="00300B11">
      <w:pPr>
        <w:spacing w:after="42" w:line="259" w:lineRule="auto"/>
        <w:ind w:left="708" w:right="0" w:firstLine="0"/>
        <w:jc w:val="left"/>
      </w:pPr>
      <w:r>
        <w:rPr>
          <w:i w:val="0"/>
        </w:rPr>
        <w:t xml:space="preserve"> </w:t>
      </w:r>
    </w:p>
    <w:p w:rsidR="00B32DFD" w:rsidRDefault="00300B11">
      <w:pPr>
        <w:ind w:left="137" w:right="-8"/>
      </w:pPr>
      <w:r>
        <w:t>„</w:t>
      </w:r>
      <w:proofErr w:type="spellStart"/>
      <w:r>
        <w:t>Ratio</w:t>
      </w:r>
      <w:proofErr w:type="spellEnd"/>
      <w:r>
        <w:t xml:space="preserve"> právnych úprav splnenia podmienky nezaopatrenosti dieťaťa na poskytovanie prídavkov na dieťa už aj pred prijatím Listiny a Ústavy Slovenskej republiky a na </w:t>
      </w:r>
      <w:proofErr w:type="spellStart"/>
      <w:r>
        <w:t>n</w:t>
      </w:r>
      <w:r>
        <w:t>e</w:t>
      </w:r>
      <w:proofErr w:type="spellEnd"/>
      <w:r>
        <w:t xml:space="preserve"> nadväzujúcich ďalších právnych úprav bolo úplne iné, ako týmto úpravám v rozhodnutiach a interpretačných vyjadreniach dávajú uvedené štátne orgány v prípade odňatia sociálnej dávky sťažovateľovi (navyše s odkazom na metodické pokyny). Rovnako iný výklad </w:t>
      </w:r>
      <w:r>
        <w:t xml:space="preserve">a iný význam pripisujú podstate zákonných, ako aj </w:t>
      </w:r>
      <w:proofErr w:type="spellStart"/>
      <w:r>
        <w:t>subzákonných</w:t>
      </w:r>
      <w:proofErr w:type="spellEnd"/>
      <w:r>
        <w:t xml:space="preserve"> právnych predpisov, ktoré upravujú poskytovanie dávky sociálnej starostlivosti. Ide najmä o súvislosti s už uvedeným odporúčaním, aby si rodič sťažovateľa uplatnil nárok na prídavky na dieťa a </w:t>
      </w:r>
      <w:r>
        <w:t xml:space="preserve">na štátny vyrovnávací príspevok. Vo svojich argumentoch zdôrazňujú najmä ustanovenie § 4 ods. 1 druhú vetu vyhlášky č. 105/1992 Zb. o </w:t>
      </w:r>
      <w:r>
        <w:lastRenderedPageBreak/>
        <w:t>sociálnej odkázanosti, podľa ktorej v kontexte s prvou vetou sa pri poskytovaní dávky sociálnej starostlivosti skúma, či s</w:t>
      </w:r>
      <w:r>
        <w:t>i o b č a n a zabezpečenie svojich životných potrieb uplatnil nárok na dávky nemocenského alebo dôchodkového zabezpečenia alebo štátne dávky sociálneho zabezpečenia. Na základe povinnosti skúmať tieto podmienky, čo je povinnosťou orgánu poskytujúceho dávku</w:t>
      </w:r>
      <w:r>
        <w:t>, nesprávne požadujú, aby si občan – žiadateľ uplatnil nárok na ďalšiu dávku. Dikciu citovaného ustanovenia v žiadnom prípade nemožno interpretovať tak, že si občan, ktorý žiada o pomoc v hmotnej núdzi, musí uplatniť nárok na inú dávku. Predovšetkým je vša</w:t>
      </w:r>
      <w:r>
        <w:t xml:space="preserve">k úplne vylúčené, aby takúto povinnosť mal žiadateľ vo vzťahu k inej osobe, ktorá je nositeľom nároku na túto inú dávku. </w:t>
      </w:r>
    </w:p>
    <w:p w:rsidR="00B32DFD" w:rsidRDefault="00300B11">
      <w:pPr>
        <w:ind w:left="137" w:right="-8"/>
      </w:pPr>
      <w:r>
        <w:t>Preto podstata odôvodnení rozhodnutí o odňatí sociálnej peňažnej dávky je v rozpore so zákonom o životnom minime. Tieto odôvodnenia úp</w:t>
      </w:r>
      <w:r>
        <w:t xml:space="preserve">lne negujú zákonnú prioritu a taktiež etiku uspokojovania životných potrieb príjmami zo zárobkovej činnosti, teda vlastným pričinením, vlastnou prácou.“ </w:t>
      </w:r>
    </w:p>
    <w:p w:rsidR="00B32DFD" w:rsidRDefault="00300B11">
      <w:pPr>
        <w:spacing w:after="39" w:line="259" w:lineRule="auto"/>
        <w:ind w:left="708" w:right="0" w:firstLine="0"/>
        <w:jc w:val="left"/>
      </w:pPr>
      <w:r>
        <w:t xml:space="preserve"> </w:t>
      </w:r>
    </w:p>
    <w:p w:rsidR="00B32DFD" w:rsidRDefault="00300B11">
      <w:pPr>
        <w:pStyle w:val="Nadpis2"/>
        <w:ind w:left="554" w:hanging="427"/>
      </w:pPr>
      <w:r>
        <w:t xml:space="preserve">Odporúčanie  </w:t>
      </w:r>
    </w:p>
    <w:p w:rsidR="00B32DFD" w:rsidRDefault="00300B11">
      <w:pPr>
        <w:spacing w:after="49" w:line="259" w:lineRule="auto"/>
        <w:ind w:left="142" w:right="0" w:firstLine="0"/>
        <w:jc w:val="left"/>
      </w:pPr>
      <w:r>
        <w:rPr>
          <w:b/>
          <w:i w:val="0"/>
        </w:rPr>
        <w:t xml:space="preserve"> </w:t>
      </w:r>
    </w:p>
    <w:p w:rsidR="00B32DFD" w:rsidRDefault="00300B11">
      <w:pPr>
        <w:spacing w:after="31" w:line="271" w:lineRule="auto"/>
        <w:ind w:left="137" w:right="0"/>
      </w:pPr>
      <w:r>
        <w:rPr>
          <w:i w:val="0"/>
        </w:rPr>
        <w:t xml:space="preserve">Podľa grafov 2, 4, 6, 8 a 10 analýzy je pomoc v hmotnej núdzi alokovaná v </w:t>
      </w:r>
      <w:r>
        <w:rPr>
          <w:i w:val="0"/>
        </w:rPr>
        <w:t>najväčšej miere od roku 2014 v Banskobystrickom, Prešovskom a Košickom kraji. V týchto krajoch sa nachádzajú aj okresy zaradené do Zoznamu najmenej rozvinutých okresov za 4. štvrťrok 2019 podľa § 3 ods. 3 písm. a) Zákona č. 336/2015 Z. z. o podpore najmene</w:t>
      </w:r>
      <w:r>
        <w:rPr>
          <w:i w:val="0"/>
        </w:rPr>
        <w:t>j rozvinutých okresov a o zmene a doplnení niektorých zákonov (ďalej len „Zákon o podpore najmenej rozvinutých okresov“), a to okresy v zátvorke s počtom rómskych obyvateľov podľa Atlasu rómskych komunít z roku 2019 - Kežmarok (</w:t>
      </w:r>
      <w:r>
        <w:rPr>
          <w:i w:val="0"/>
          <w:sz w:val="22"/>
        </w:rPr>
        <w:t>19235)</w:t>
      </w:r>
      <w:r>
        <w:rPr>
          <w:i w:val="0"/>
        </w:rPr>
        <w:t>, Lučenec (15 510), Po</w:t>
      </w:r>
      <w:r>
        <w:rPr>
          <w:i w:val="0"/>
        </w:rPr>
        <w:t xml:space="preserve">ltár (2523), Revúca (13 116), Rimavská Sobota </w:t>
      </w:r>
    </w:p>
    <w:p w:rsidR="00B32DFD" w:rsidRDefault="00300B11">
      <w:pPr>
        <w:spacing w:after="3" w:line="271" w:lineRule="auto"/>
        <w:ind w:left="137" w:right="0"/>
      </w:pPr>
      <w:r>
        <w:rPr>
          <w:i w:val="0"/>
        </w:rPr>
        <w:t xml:space="preserve">(25 918), Veľký Krtíš (5264), Sabinov (13 792), Svidník (24 910), Vranov nad Topľou </w:t>
      </w:r>
    </w:p>
    <w:p w:rsidR="00B32DFD" w:rsidRDefault="00300B11">
      <w:pPr>
        <w:spacing w:after="3" w:line="271" w:lineRule="auto"/>
        <w:ind w:left="137" w:right="0"/>
      </w:pPr>
      <w:r>
        <w:rPr>
          <w:i w:val="0"/>
        </w:rPr>
        <w:t xml:space="preserve">(20 037), Rožňava (14 632), Sobrance (2950), Trebišov (21 702), Gelnica (9688), Bardejov </w:t>
      </w:r>
    </w:p>
    <w:p w:rsidR="00B32DFD" w:rsidRDefault="00300B11">
      <w:pPr>
        <w:spacing w:after="35" w:line="271" w:lineRule="auto"/>
        <w:ind w:left="137" w:right="0"/>
      </w:pPr>
      <w:r>
        <w:rPr>
          <w:i w:val="0"/>
        </w:rPr>
        <w:t>(10 420), Medzilaborce (1658), Koš</w:t>
      </w:r>
      <w:r>
        <w:rPr>
          <w:i w:val="0"/>
        </w:rPr>
        <w:t>ice-okolie (27 947), Snina (2454), Levoča (6525), Michalovce (22 340) a Stropkov (2247). V zmysle § 5 ods. 3 písm. b) Zákona o podpore najmenej rozvinutých okresov plní Rada pre podporu najmenej rozvinutých okresov (ďalej len „Rada“)  v oblasti podpory naj</w:t>
      </w:r>
      <w:r>
        <w:rPr>
          <w:i w:val="0"/>
        </w:rPr>
        <w:t xml:space="preserve">menej rozvinutých okresov koordinačné, konzultačné a odborné úlohy. Prijímateľovi sa navrhuje, aby s Radou začal rokovanie o návrhu zmeny právnej úpravy </w:t>
      </w:r>
      <w:r>
        <w:t>§</w:t>
      </w:r>
      <w:r>
        <w:rPr>
          <w:i w:val="0"/>
        </w:rPr>
        <w:t xml:space="preserve">  10 Zákona o pomoci v hmotnej núdzi buď v rozsahu doplnenia odkazu na osobitný zákon v odseku 3. ktor</w:t>
      </w:r>
      <w:r>
        <w:rPr>
          <w:i w:val="0"/>
        </w:rPr>
        <w:t xml:space="preserve">ého predmetom by bola úprava rozšírenia negatívneho vymedzenia zníženia dávky o právnu skutočnosť vzniku pracovného pomeru na kratší pracovný čas obyvateľa najmenej rozvinutého okresu a s tým spojené rokovanie so zástupcami najmenej rozvinutých okresov za </w:t>
      </w:r>
      <w:r>
        <w:rPr>
          <w:i w:val="0"/>
        </w:rPr>
        <w:t xml:space="preserve">účelom návrhu žiadosti o regionálny príspevok podľa § 8 Zákona o podpore najmenej rozvinutých okresov na podporu zamestnanosti obyvateľov, ktorí sú poberateľmi dávok v hmotnej núdzi alebo právnej úpravy </w:t>
      </w:r>
      <w:r>
        <w:t xml:space="preserve">§ 8 </w:t>
      </w:r>
      <w:r>
        <w:rPr>
          <w:i w:val="0"/>
        </w:rPr>
        <w:t>Zákona o pomoci v hmotnej núdzi v rozsahu rozšíre</w:t>
      </w:r>
      <w:r>
        <w:rPr>
          <w:i w:val="0"/>
        </w:rPr>
        <w:t>nia negatívneho vymedzenia príjmu na účely tohto zákona doplnením o pracovný pomer na kratší pracovný čas.</w:t>
      </w:r>
      <w:r>
        <w:rPr>
          <w:i w:val="0"/>
          <w:sz w:val="22"/>
        </w:rPr>
        <w:t xml:space="preserve"> </w:t>
      </w:r>
    </w:p>
    <w:p w:rsidR="00B32DFD" w:rsidRDefault="00300B11">
      <w:pPr>
        <w:spacing w:after="0" w:line="259" w:lineRule="auto"/>
        <w:ind w:left="850" w:right="0" w:firstLine="0"/>
        <w:jc w:val="left"/>
      </w:pPr>
      <w:r>
        <w:rPr>
          <w:i w:val="0"/>
        </w:rPr>
        <w:t xml:space="preserve"> </w:t>
      </w:r>
    </w:p>
    <w:p w:rsidR="00B32DFD" w:rsidRDefault="00300B11">
      <w:pPr>
        <w:spacing w:after="0" w:line="259" w:lineRule="auto"/>
        <w:ind w:left="850" w:right="0" w:firstLine="0"/>
        <w:jc w:val="left"/>
      </w:pPr>
      <w:r>
        <w:rPr>
          <w:i w:val="0"/>
        </w:rPr>
        <w:t xml:space="preserve"> </w:t>
      </w:r>
    </w:p>
    <w:p w:rsidR="00B32DFD" w:rsidRDefault="00300B11">
      <w:pPr>
        <w:spacing w:after="0" w:line="259" w:lineRule="auto"/>
        <w:ind w:left="850" w:right="0" w:firstLine="0"/>
        <w:jc w:val="left"/>
      </w:pPr>
      <w:r>
        <w:rPr>
          <w:i w:val="0"/>
        </w:rPr>
        <w:t xml:space="preserve"> </w:t>
      </w:r>
    </w:p>
    <w:p w:rsidR="00B32DFD" w:rsidRDefault="00300B11">
      <w:pPr>
        <w:spacing w:after="0" w:line="259" w:lineRule="auto"/>
        <w:ind w:left="850" w:right="0" w:firstLine="0"/>
        <w:jc w:val="left"/>
      </w:pPr>
      <w:r>
        <w:rPr>
          <w:i w:val="0"/>
        </w:rPr>
        <w:t xml:space="preserve"> </w:t>
      </w:r>
    </w:p>
    <w:p w:rsidR="00B32DFD" w:rsidRPr="00CE11FA" w:rsidRDefault="00300B11" w:rsidP="00CE11FA">
      <w:pPr>
        <w:rPr>
          <w:i w:val="0"/>
        </w:rPr>
      </w:pPr>
      <w:r w:rsidRPr="00CE11FA">
        <w:rPr>
          <w:i w:val="0"/>
        </w:rPr>
        <w:t xml:space="preserve"> </w:t>
      </w:r>
      <w:r w:rsidR="00CE11FA" w:rsidRPr="00CE11FA">
        <w:rPr>
          <w:i w:val="0"/>
        </w:rPr>
        <w:t>Tento projekt je podporený z Európskeho sociálneho fondu z Operačného programu Efektívna verejná správa.</w:t>
      </w:r>
    </w:p>
    <w:sectPr w:rsidR="00B32DFD" w:rsidRPr="00CE11FA">
      <w:footnotePr>
        <w:numRestart w:val="eachPage"/>
      </w:footnotePr>
      <w:pgSz w:w="11906" w:h="16838"/>
      <w:pgMar w:top="1417" w:right="1413" w:bottom="1416" w:left="12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11" w:rsidRDefault="00300B11">
      <w:pPr>
        <w:spacing w:after="0" w:line="240" w:lineRule="auto"/>
      </w:pPr>
      <w:r>
        <w:separator/>
      </w:r>
    </w:p>
  </w:endnote>
  <w:endnote w:type="continuationSeparator" w:id="0">
    <w:p w:rsidR="00300B11" w:rsidRDefault="0030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11" w:rsidRDefault="00300B11">
      <w:pPr>
        <w:spacing w:after="0" w:line="279" w:lineRule="auto"/>
        <w:ind w:left="142" w:right="0" w:firstLine="0"/>
        <w:jc w:val="left"/>
      </w:pPr>
      <w:r>
        <w:separator/>
      </w:r>
    </w:p>
  </w:footnote>
  <w:footnote w:type="continuationSeparator" w:id="0">
    <w:p w:rsidR="00300B11" w:rsidRDefault="00300B11">
      <w:pPr>
        <w:spacing w:after="0" w:line="279" w:lineRule="auto"/>
        <w:ind w:left="142" w:right="0" w:firstLine="0"/>
        <w:jc w:val="left"/>
      </w:pPr>
      <w:r>
        <w:continuationSeparator/>
      </w:r>
    </w:p>
  </w:footnote>
  <w:footnote w:id="1">
    <w:p w:rsidR="00B32DFD" w:rsidRDefault="00300B11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 xml:space="preserve">DRGONEC, </w:t>
      </w:r>
      <w:proofErr w:type="spellStart"/>
      <w:r>
        <w:t>J.:Ústava</w:t>
      </w:r>
      <w:proofErr w:type="spellEnd"/>
      <w:r>
        <w:t xml:space="preserve"> Slovenskej </w:t>
      </w:r>
      <w:proofErr w:type="spellStart"/>
      <w:r>
        <w:t>republiky.Komentár</w:t>
      </w:r>
      <w:proofErr w:type="spellEnd"/>
      <w:r>
        <w:t xml:space="preserve">. </w:t>
      </w:r>
      <w:proofErr w:type="spellStart"/>
      <w:r>
        <w:t>C.H.Beck</w:t>
      </w:r>
      <w:proofErr w:type="spellEnd"/>
      <w:r>
        <w:t xml:space="preserve">: Bratislava, 2019. ISBN 978-80-89603-74-9. V texte s výkladom aj pred zmenou systematického členenia čl. 39.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B4B27"/>
    <w:multiLevelType w:val="hybridMultilevel"/>
    <w:tmpl w:val="A906E2C8"/>
    <w:lvl w:ilvl="0" w:tplc="C7D615D8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48F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3A28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A69E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4F8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92EE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58D0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6096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D4AA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93469B"/>
    <w:multiLevelType w:val="multilevel"/>
    <w:tmpl w:val="F9B41624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DA752D"/>
    <w:multiLevelType w:val="hybridMultilevel"/>
    <w:tmpl w:val="172C74C8"/>
    <w:lvl w:ilvl="0" w:tplc="AD1207A6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05B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0BA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4C4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32E1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96CF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826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C7D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E9B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FD"/>
    <w:rsid w:val="00300B11"/>
    <w:rsid w:val="00B32DFD"/>
    <w:rsid w:val="00CE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3184"/>
  <w15:docId w15:val="{33AA1693-5017-4AF2-84AE-CC67013A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6" w:lineRule="auto"/>
      <w:ind w:left="152" w:right="5" w:hanging="10"/>
      <w:jc w:val="both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0"/>
      <w:ind w:left="15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numPr>
        <w:ilvl w:val="1"/>
        <w:numId w:val="3"/>
      </w:numPr>
      <w:spacing w:after="0"/>
      <w:ind w:left="15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ind w:left="14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ukasmriekou5tmavzvraznenie4">
    <w:name w:val="Grid Table 5 Dark Accent 4"/>
    <w:basedOn w:val="Normlnatabuka"/>
    <w:uiPriority w:val="50"/>
    <w:rsid w:val="00CE11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4314</Words>
  <Characters>24591</Characters>
  <Application>Microsoft Office Word</Application>
  <DocSecurity>0</DocSecurity>
  <Lines>204</Lines>
  <Paragraphs>57</Paragraphs>
  <ScaleCrop>false</ScaleCrop>
  <Company/>
  <LinksUpToDate>false</LinksUpToDate>
  <CharactersWithSpaces>28848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Grieč Milan</dc:creator>
  <cp:keywords/>
  <cp:lastModifiedBy>Peter Adam</cp:lastModifiedBy>
  <cp:revision>2</cp:revision>
  <dcterms:created xsi:type="dcterms:W3CDTF">2020-10-28T10:18:00Z</dcterms:created>
  <dcterms:modified xsi:type="dcterms:W3CDTF">2020-10-28T10:18:00Z</dcterms:modified>
</cp:coreProperties>
</file>