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F7" w:rsidRDefault="003344F7" w:rsidP="00D75CDF">
      <w:pPr>
        <w:spacing w:line="240" w:lineRule="auto"/>
        <w:ind w:right="16"/>
        <w:jc w:val="both"/>
        <w:rPr>
          <w:b/>
          <w:bCs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EB5A94A" wp14:editId="1A2C7D9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25170" cy="725170"/>
            <wp:effectExtent l="0" t="0" r="0" b="0"/>
            <wp:wrapTight wrapText="bothSides">
              <wp:wrapPolygon edited="0">
                <wp:start x="9079" y="0"/>
                <wp:lineTo x="0" y="9079"/>
                <wp:lineTo x="0" y="11349"/>
                <wp:lineTo x="8511" y="20995"/>
                <wp:lineTo x="9079" y="20995"/>
                <wp:lineTo x="11916" y="20995"/>
                <wp:lineTo x="12483" y="20995"/>
                <wp:lineTo x="20995" y="11349"/>
                <wp:lineTo x="20995" y="9079"/>
                <wp:lineTo x="11916" y="0"/>
                <wp:lineTo x="9079" y="0"/>
              </wp:wrapPolygon>
            </wp:wrapTight>
            <wp:docPr id="3" name="Picture 3" descr="Macintosh HD:Users:brano:Documents:CvO/CvT:logo:PINSK_final:pinf_SK-EN_formaty:pinf_slov_krivky_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ano:Documents:CvO/CvT:logo:PINSK_final:pinf_SK-EN_formaty:pinf_slov_krivky_S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DF" w:rsidRPr="003344F7" w:rsidRDefault="003344F7" w:rsidP="00D75CDF">
      <w:pPr>
        <w:spacing w:line="240" w:lineRule="auto"/>
        <w:ind w:right="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40075" w:rsidRPr="003344F7">
        <w:rPr>
          <w:b/>
          <w:bCs/>
          <w:sz w:val="28"/>
          <w:szCs w:val="28"/>
        </w:rPr>
        <w:t>Krízový plá</w:t>
      </w:r>
      <w:r w:rsidR="00D75CDF" w:rsidRPr="003344F7">
        <w:rPr>
          <w:b/>
          <w:bCs/>
          <w:sz w:val="28"/>
          <w:szCs w:val="28"/>
        </w:rPr>
        <w:t>n Komunitných cent</w:t>
      </w:r>
      <w:r w:rsidR="0098412E">
        <w:rPr>
          <w:b/>
          <w:bCs/>
          <w:sz w:val="28"/>
          <w:szCs w:val="28"/>
        </w:rPr>
        <w:t>i</w:t>
      </w:r>
      <w:r w:rsidR="00D75CDF" w:rsidRPr="003344F7">
        <w:rPr>
          <w:b/>
          <w:bCs/>
          <w:sz w:val="28"/>
          <w:szCs w:val="28"/>
        </w:rPr>
        <w:t>er Človeka v</w:t>
      </w:r>
      <w:r w:rsidR="00040075" w:rsidRPr="003344F7">
        <w:rPr>
          <w:b/>
          <w:bCs/>
          <w:sz w:val="28"/>
          <w:szCs w:val="28"/>
        </w:rPr>
        <w:t> </w:t>
      </w:r>
      <w:r w:rsidR="00D75CDF" w:rsidRPr="003344F7">
        <w:rPr>
          <w:b/>
          <w:bCs/>
          <w:sz w:val="28"/>
          <w:szCs w:val="28"/>
        </w:rPr>
        <w:t>ohrození</w:t>
      </w:r>
      <w:r w:rsidR="00040075" w:rsidRPr="003344F7">
        <w:rPr>
          <w:b/>
          <w:bCs/>
          <w:sz w:val="28"/>
          <w:szCs w:val="28"/>
        </w:rPr>
        <w:t>,</w:t>
      </w:r>
      <w:r w:rsidR="00D75CDF" w:rsidRPr="003344F7">
        <w:rPr>
          <w:b/>
          <w:bCs/>
          <w:sz w:val="28"/>
          <w:szCs w:val="28"/>
        </w:rPr>
        <w:t xml:space="preserve"> </w:t>
      </w:r>
      <w:proofErr w:type="spellStart"/>
      <w:r w:rsidR="00D75CDF" w:rsidRPr="003344F7">
        <w:rPr>
          <w:b/>
          <w:bCs/>
          <w:sz w:val="28"/>
          <w:szCs w:val="28"/>
        </w:rPr>
        <w:t>n.o</w:t>
      </w:r>
      <w:proofErr w:type="spellEnd"/>
      <w:r w:rsidR="00D75CDF" w:rsidRPr="003344F7">
        <w:rPr>
          <w:b/>
          <w:bCs/>
          <w:sz w:val="28"/>
          <w:szCs w:val="28"/>
        </w:rPr>
        <w:t>.</w:t>
      </w:r>
      <w:r w:rsidR="00040075" w:rsidRPr="003344F7">
        <w:rPr>
          <w:b/>
          <w:bCs/>
          <w:sz w:val="28"/>
          <w:szCs w:val="28"/>
        </w:rPr>
        <w:t xml:space="preserve">    </w:t>
      </w:r>
    </w:p>
    <w:p w:rsidR="00040075" w:rsidRDefault="00040075" w:rsidP="00D75CDF">
      <w:pPr>
        <w:spacing w:line="240" w:lineRule="auto"/>
        <w:ind w:right="16"/>
        <w:jc w:val="both"/>
        <w:rPr>
          <w:bCs/>
          <w:sz w:val="22"/>
          <w:szCs w:val="22"/>
        </w:rPr>
      </w:pPr>
    </w:p>
    <w:p w:rsidR="003344F7" w:rsidRDefault="003344F7" w:rsidP="00D75CDF">
      <w:pPr>
        <w:spacing w:line="240" w:lineRule="auto"/>
        <w:ind w:left="4"/>
        <w:jc w:val="both"/>
        <w:rPr>
          <w:rFonts w:eastAsia="Times New Roman"/>
          <w:sz w:val="22"/>
          <w:szCs w:val="22"/>
        </w:rPr>
      </w:pPr>
    </w:p>
    <w:p w:rsidR="00D75CDF" w:rsidRPr="00B700D8" w:rsidRDefault="00D75CDF" w:rsidP="00D75CDF">
      <w:pPr>
        <w:spacing w:line="240" w:lineRule="auto"/>
        <w:ind w:left="4"/>
        <w:jc w:val="both"/>
        <w:rPr>
          <w:sz w:val="22"/>
          <w:szCs w:val="22"/>
        </w:rPr>
      </w:pPr>
      <w:r w:rsidRPr="00B700D8">
        <w:rPr>
          <w:rFonts w:eastAsia="Times New Roman"/>
          <w:sz w:val="22"/>
          <w:szCs w:val="22"/>
        </w:rPr>
        <w:t>V</w:t>
      </w:r>
      <w:r w:rsidRPr="00B700D8">
        <w:rPr>
          <w:sz w:val="22"/>
          <w:szCs w:val="22"/>
        </w:rPr>
        <w:t xml:space="preserve"> aktuálnej situácii sú subjekty hospodárskej mobilizácie povinné vypracovať plán riešenia krízovej situácie (ďalej aj „KP“) v súvislosti s výskytom ochorenia COVID – 19 do 07.05.2020.</w:t>
      </w:r>
    </w:p>
    <w:p w:rsidR="00D75CDF" w:rsidRPr="00B700D8" w:rsidRDefault="00D75CDF" w:rsidP="00D75CDF">
      <w:pPr>
        <w:spacing w:line="240" w:lineRule="auto"/>
        <w:ind w:left="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 xml:space="preserve">Obsahom tohto plánu sú opatrenia, ktoré poskytovateľ sociálnej služby prijme na riešenie krízových situácií </w:t>
      </w:r>
      <w:r w:rsidRPr="00B700D8">
        <w:rPr>
          <w:color w:val="37383A"/>
          <w:sz w:val="22"/>
          <w:szCs w:val="22"/>
        </w:rPr>
        <w:t>v súvislosti s výskytom ochorenia COVID –</w:t>
      </w:r>
      <w:r w:rsidRPr="00B700D8">
        <w:rPr>
          <w:sz w:val="22"/>
          <w:szCs w:val="22"/>
        </w:rPr>
        <w:t xml:space="preserve"> </w:t>
      </w:r>
      <w:r w:rsidRPr="00B700D8">
        <w:rPr>
          <w:color w:val="37383A"/>
          <w:sz w:val="22"/>
          <w:szCs w:val="22"/>
        </w:rPr>
        <w:t>19</w:t>
      </w:r>
      <w:r w:rsidRPr="00B700D8">
        <w:rPr>
          <w:sz w:val="22"/>
          <w:szCs w:val="22"/>
        </w:rPr>
        <w:t xml:space="preserve">. </w:t>
      </w:r>
    </w:p>
    <w:p w:rsidR="00D75CDF" w:rsidRPr="00B700D8" w:rsidRDefault="0098412E" w:rsidP="00D75CDF">
      <w:pPr>
        <w:spacing w:line="240" w:lineRule="auto"/>
        <w:ind w:left="4"/>
        <w:jc w:val="both"/>
        <w:rPr>
          <w:sz w:val="22"/>
          <w:szCs w:val="22"/>
        </w:rPr>
      </w:pPr>
      <w:r w:rsidRPr="0098412E">
        <w:rPr>
          <w:sz w:val="22"/>
          <w:szCs w:val="22"/>
        </w:rPr>
        <w:t>Opatrenia</w:t>
      </w:r>
      <w:r w:rsidR="00D75CDF" w:rsidRPr="0098412E">
        <w:rPr>
          <w:sz w:val="22"/>
          <w:szCs w:val="22"/>
        </w:rPr>
        <w:t xml:space="preserve"> pre</w:t>
      </w:r>
      <w:r w:rsidRPr="0098412E">
        <w:rPr>
          <w:sz w:val="22"/>
          <w:szCs w:val="22"/>
        </w:rPr>
        <w:t xml:space="preserve"> komunitné centrá</w:t>
      </w:r>
      <w:r w:rsidR="00D75CDF" w:rsidRPr="0098412E">
        <w:rPr>
          <w:sz w:val="22"/>
          <w:szCs w:val="22"/>
        </w:rPr>
        <w:t xml:space="preserve"> </w:t>
      </w:r>
      <w:r w:rsidRPr="0098412E">
        <w:rPr>
          <w:sz w:val="22"/>
          <w:szCs w:val="22"/>
        </w:rPr>
        <w:t>(</w:t>
      </w:r>
      <w:r w:rsidR="00D75CDF" w:rsidRPr="0098412E">
        <w:rPr>
          <w:sz w:val="22"/>
          <w:szCs w:val="22"/>
        </w:rPr>
        <w:t>KC</w:t>
      </w:r>
      <w:r w:rsidRPr="0098412E">
        <w:rPr>
          <w:sz w:val="22"/>
          <w:szCs w:val="22"/>
        </w:rPr>
        <w:t>) a odporúčané činnosti</w:t>
      </w:r>
      <w:r w:rsidR="00D75CDF" w:rsidRPr="0098412E">
        <w:rPr>
          <w:sz w:val="22"/>
          <w:szCs w:val="22"/>
        </w:rPr>
        <w:t xml:space="preserve"> pre pracovníkov v KC:</w:t>
      </w:r>
    </w:p>
    <w:p w:rsidR="00D75CDF" w:rsidRPr="00B700D8" w:rsidRDefault="00D75CDF" w:rsidP="00D75CDF">
      <w:pPr>
        <w:spacing w:line="240" w:lineRule="auto"/>
        <w:jc w:val="both"/>
        <w:rPr>
          <w:rFonts w:eastAsia="Times New Roman"/>
          <w:sz w:val="22"/>
          <w:szCs w:val="22"/>
        </w:rPr>
      </w:pPr>
    </w:p>
    <w:p w:rsidR="00D75CDF" w:rsidRPr="003344F7" w:rsidRDefault="00D75CDF" w:rsidP="003344F7">
      <w:pPr>
        <w:pStyle w:val="ListParagraph"/>
        <w:numPr>
          <w:ilvl w:val="0"/>
          <w:numId w:val="32"/>
        </w:numPr>
        <w:tabs>
          <w:tab w:val="left" w:pos="364"/>
        </w:tabs>
        <w:spacing w:line="240" w:lineRule="auto"/>
        <w:jc w:val="both"/>
        <w:rPr>
          <w:b/>
          <w:bCs/>
          <w:sz w:val="22"/>
          <w:szCs w:val="22"/>
        </w:rPr>
      </w:pPr>
      <w:r w:rsidRPr="003344F7">
        <w:rPr>
          <w:b/>
          <w:bCs/>
          <w:sz w:val="22"/>
          <w:szCs w:val="22"/>
        </w:rPr>
        <w:t>Zabezpečenie personálu v KC v rámci krízovej situácie</w:t>
      </w:r>
    </w:p>
    <w:p w:rsidR="00D75CDF" w:rsidRPr="00B700D8" w:rsidRDefault="00D75CDF" w:rsidP="00D75CDF">
      <w:pPr>
        <w:spacing w:line="240" w:lineRule="auto"/>
        <w:ind w:left="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Činnosť KC je zabezpečovaná pracovníkmi KC v tomto zložení:</w:t>
      </w:r>
    </w:p>
    <w:p w:rsidR="00D75CDF" w:rsidRPr="00B700D8" w:rsidRDefault="00D75CDF" w:rsidP="00760AC7">
      <w:pPr>
        <w:numPr>
          <w:ilvl w:val="0"/>
          <w:numId w:val="27"/>
        </w:numPr>
        <w:tabs>
          <w:tab w:val="left" w:pos="1424"/>
        </w:tabs>
        <w:spacing w:line="240" w:lineRule="auto"/>
        <w:ind w:left="1424" w:hanging="356"/>
        <w:jc w:val="both"/>
        <w:rPr>
          <w:rFonts w:eastAsia="Symbol"/>
          <w:sz w:val="22"/>
          <w:szCs w:val="22"/>
        </w:rPr>
      </w:pPr>
      <w:r w:rsidRPr="00B700D8">
        <w:rPr>
          <w:sz w:val="22"/>
          <w:szCs w:val="22"/>
        </w:rPr>
        <w:t>odborný garant KC,</w:t>
      </w:r>
    </w:p>
    <w:p w:rsidR="00D75CDF" w:rsidRPr="00B700D8" w:rsidRDefault="00D75CDF" w:rsidP="00760AC7">
      <w:pPr>
        <w:numPr>
          <w:ilvl w:val="0"/>
          <w:numId w:val="27"/>
        </w:numPr>
        <w:tabs>
          <w:tab w:val="left" w:pos="1424"/>
        </w:tabs>
        <w:spacing w:line="240" w:lineRule="auto"/>
        <w:ind w:left="1424" w:hanging="356"/>
        <w:jc w:val="both"/>
        <w:rPr>
          <w:rFonts w:eastAsia="Symbol"/>
          <w:sz w:val="22"/>
          <w:szCs w:val="22"/>
        </w:rPr>
      </w:pPr>
      <w:r w:rsidRPr="00B700D8">
        <w:rPr>
          <w:sz w:val="22"/>
          <w:szCs w:val="22"/>
        </w:rPr>
        <w:t>odborný pracovník KC,</w:t>
      </w:r>
    </w:p>
    <w:p w:rsidR="00D75CDF" w:rsidRPr="00B700D8" w:rsidRDefault="00D75CDF" w:rsidP="00760AC7">
      <w:pPr>
        <w:numPr>
          <w:ilvl w:val="0"/>
          <w:numId w:val="27"/>
        </w:numPr>
        <w:tabs>
          <w:tab w:val="left" w:pos="1424"/>
        </w:tabs>
        <w:spacing w:line="240" w:lineRule="auto"/>
        <w:ind w:left="1424" w:hanging="356"/>
        <w:jc w:val="both"/>
        <w:rPr>
          <w:rFonts w:eastAsia="Symbol"/>
          <w:sz w:val="22"/>
          <w:szCs w:val="22"/>
        </w:rPr>
      </w:pPr>
      <w:r w:rsidRPr="00B700D8">
        <w:rPr>
          <w:sz w:val="22"/>
          <w:szCs w:val="22"/>
        </w:rPr>
        <w:t>pracovník KC (ďalej len „zamestnanci KC“).</w:t>
      </w:r>
    </w:p>
    <w:p w:rsidR="00D75CDF" w:rsidRPr="00B700D8" w:rsidRDefault="00D75CDF" w:rsidP="00D75CDF">
      <w:pPr>
        <w:spacing w:line="240" w:lineRule="auto"/>
        <w:ind w:left="4" w:right="20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Sú zamestnancami poskytovateľa, ktorí sa podieľajú na výkone KC v zmysle zákona o sociálnych službách 448/2008 pre oprávnené cieľové skupiny KC v zmysle bodu 4 tohto dokumentu, podľa ich pracovných náplní.</w:t>
      </w:r>
    </w:p>
    <w:p w:rsidR="00D75CDF" w:rsidRPr="00B700D8" w:rsidRDefault="00D75CDF" w:rsidP="00D75CDF">
      <w:pPr>
        <w:spacing w:line="240" w:lineRule="auto"/>
        <w:ind w:left="4" w:right="20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Činnosť KC zabezpečujú s pravidelnosťou 5 pracovných dní do týždňa, minimálne 30 hodín týždenne počas stanovených otváracích hodín priamo v KC. Časť týždenného pracovného času zamestnanci KC vykonávajú činnosť v teréne a taktiež formo</w:t>
      </w:r>
      <w:r w:rsidR="00760AC7">
        <w:rPr>
          <w:sz w:val="22"/>
          <w:szCs w:val="22"/>
        </w:rPr>
        <w:t xml:space="preserve">u práce z domu (formou </w:t>
      </w:r>
      <w:proofErr w:type="spellStart"/>
      <w:r w:rsidR="00760AC7">
        <w:rPr>
          <w:sz w:val="22"/>
          <w:szCs w:val="22"/>
        </w:rPr>
        <w:t>home</w:t>
      </w:r>
      <w:proofErr w:type="spellEnd"/>
      <w:r w:rsidR="00760AC7">
        <w:rPr>
          <w:sz w:val="22"/>
          <w:szCs w:val="22"/>
        </w:rPr>
        <w:t xml:space="preserve"> </w:t>
      </w:r>
      <w:proofErr w:type="spellStart"/>
      <w:r w:rsidR="00760AC7">
        <w:rPr>
          <w:sz w:val="22"/>
          <w:szCs w:val="22"/>
        </w:rPr>
        <w:t>office</w:t>
      </w:r>
      <w:proofErr w:type="spellEnd"/>
      <w:r w:rsidRPr="00B700D8">
        <w:rPr>
          <w:sz w:val="22"/>
          <w:szCs w:val="22"/>
        </w:rPr>
        <w:t>).</w:t>
      </w:r>
    </w:p>
    <w:p w:rsidR="00D75CDF" w:rsidRPr="00B700D8" w:rsidRDefault="00D75CDF" w:rsidP="00D75CDF">
      <w:pPr>
        <w:spacing w:line="240" w:lineRule="auto"/>
        <w:ind w:right="20"/>
        <w:jc w:val="both"/>
        <w:rPr>
          <w:sz w:val="22"/>
          <w:szCs w:val="22"/>
        </w:rPr>
      </w:pPr>
      <w:r w:rsidRPr="00B700D8">
        <w:rPr>
          <w:sz w:val="22"/>
          <w:szCs w:val="22"/>
        </w:rPr>
        <w:t xml:space="preserve">Počas otváracích hodín sa v KC nachádza vždy minimálne jeden zo zamestnancov KC. V prípade neprítomnosti odborného garanta KC ho zastupuje odborný pracovník KC, v prípade neprítomnosti odborného pracovníka jeho povinnosti prevezme pracovník KC (okrem poskytovania sociálneho poradenstva) a v neprítomnosti pracovníka KC jeho povinnosti vykonáva odborný pracovník KC. </w:t>
      </w:r>
    </w:p>
    <w:p w:rsidR="00D75CDF" w:rsidRPr="00B700D8" w:rsidRDefault="00D75CDF" w:rsidP="00D75CDF">
      <w:pPr>
        <w:spacing w:line="240" w:lineRule="auto"/>
        <w:jc w:val="both"/>
        <w:rPr>
          <w:color w:val="0563C1"/>
          <w:sz w:val="22"/>
          <w:szCs w:val="22"/>
          <w:u w:val="single"/>
        </w:rPr>
      </w:pPr>
      <w:bookmarkStart w:id="0" w:name="page2"/>
      <w:bookmarkEnd w:id="0"/>
      <w:r w:rsidRPr="00B700D8">
        <w:rPr>
          <w:sz w:val="22"/>
          <w:szCs w:val="22"/>
        </w:rPr>
        <w:t xml:space="preserve">KC postupuje pri poskytovaní sociálnej služby KC v súlade so </w:t>
      </w:r>
      <w:hyperlink r:id="rId7" w:history="1">
        <w:r w:rsidRPr="00B700D8">
          <w:rPr>
            <w:color w:val="0563C1"/>
            <w:sz w:val="22"/>
            <w:szCs w:val="22"/>
            <w:u w:val="single"/>
          </w:rPr>
          <w:t>Štandardmi komunitných centier</w:t>
        </w:r>
      </w:hyperlink>
      <w:r w:rsidRPr="00B700D8">
        <w:rPr>
          <w:color w:val="0563C1"/>
          <w:sz w:val="22"/>
          <w:szCs w:val="22"/>
          <w:u w:val="single"/>
        </w:rPr>
        <w:t>.</w:t>
      </w:r>
    </w:p>
    <w:p w:rsidR="00D75CDF" w:rsidRPr="00B700D8" w:rsidRDefault="00D75CDF" w:rsidP="00D75CDF">
      <w:pPr>
        <w:spacing w:line="240" w:lineRule="auto"/>
        <w:ind w:left="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 xml:space="preserve">Okrem vyššie uvedeného personálneho zabezpečenia poskytovateľ služby KC určuje výkon ďalších opatrení takto: 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4244"/>
        <w:gridCol w:w="1984"/>
        <w:gridCol w:w="2410"/>
      </w:tblGrid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B700D8">
              <w:rPr>
                <w:b/>
                <w:sz w:val="22"/>
                <w:szCs w:val="22"/>
              </w:rPr>
              <w:t>Krízové</w:t>
            </w:r>
            <w:proofErr w:type="spellEnd"/>
            <w:r w:rsidRPr="00B700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b/>
                <w:sz w:val="22"/>
                <w:szCs w:val="22"/>
              </w:rPr>
              <w:t>opatrenia</w:t>
            </w:r>
            <w:proofErr w:type="spellEnd"/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B700D8">
              <w:rPr>
                <w:b/>
                <w:sz w:val="22"/>
                <w:szCs w:val="22"/>
              </w:rPr>
              <w:t>Určený</w:t>
            </w:r>
            <w:proofErr w:type="spellEnd"/>
            <w:r w:rsidRPr="00B700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b/>
                <w:sz w:val="22"/>
                <w:szCs w:val="22"/>
              </w:rPr>
              <w:t>pracovník</w:t>
            </w:r>
            <w:proofErr w:type="spellEnd"/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B700D8">
              <w:rPr>
                <w:b/>
                <w:sz w:val="22"/>
                <w:szCs w:val="22"/>
              </w:rPr>
              <w:t>Zastupujúci</w:t>
            </w:r>
            <w:proofErr w:type="spellEnd"/>
            <w:r w:rsidRPr="00B700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b/>
                <w:sz w:val="22"/>
                <w:szCs w:val="22"/>
              </w:rPr>
              <w:t>pracovník</w:t>
            </w:r>
            <w:proofErr w:type="spellEnd"/>
          </w:p>
        </w:tc>
      </w:tr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Zodpovedná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kontaktná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osoba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za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zamestnávateľa</w:t>
            </w:r>
            <w:proofErr w:type="spellEnd"/>
            <w:r w:rsidRPr="00B700D8">
              <w:rPr>
                <w:sz w:val="22"/>
                <w:szCs w:val="22"/>
              </w:rPr>
              <w:t xml:space="preserve">  v </w:t>
            </w:r>
            <w:proofErr w:type="spellStart"/>
            <w:r w:rsidRPr="00B700D8">
              <w:rPr>
                <w:sz w:val="22"/>
                <w:szCs w:val="22"/>
              </w:rPr>
              <w:t>prípade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podozrenia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na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ochorenie</w:t>
            </w:r>
            <w:proofErr w:type="spellEnd"/>
            <w:r w:rsidRPr="00B700D8">
              <w:rPr>
                <w:sz w:val="22"/>
                <w:szCs w:val="22"/>
              </w:rPr>
              <w:t xml:space="preserve"> Covid-19 u </w:t>
            </w:r>
            <w:proofErr w:type="spellStart"/>
            <w:r w:rsidRPr="00B700D8">
              <w:rPr>
                <w:sz w:val="22"/>
                <w:szCs w:val="22"/>
              </w:rPr>
              <w:t>niektorého</w:t>
            </w:r>
            <w:proofErr w:type="spellEnd"/>
            <w:r w:rsidRPr="00B700D8">
              <w:rPr>
                <w:sz w:val="22"/>
                <w:szCs w:val="22"/>
              </w:rPr>
              <w:t xml:space="preserve"> z </w:t>
            </w:r>
            <w:proofErr w:type="spellStart"/>
            <w:r w:rsidRPr="00B700D8">
              <w:rPr>
                <w:sz w:val="22"/>
                <w:szCs w:val="22"/>
              </w:rPr>
              <w:t>pracovníkov</w:t>
            </w:r>
            <w:proofErr w:type="spellEnd"/>
            <w:r w:rsidRPr="00B700D8">
              <w:rPr>
                <w:sz w:val="22"/>
                <w:szCs w:val="22"/>
              </w:rPr>
              <w:t xml:space="preserve"> KC</w:t>
            </w:r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Vedúci</w:t>
            </w:r>
            <w:proofErr w:type="spellEnd"/>
            <w:r w:rsidRPr="00B700D8">
              <w:rPr>
                <w:sz w:val="22"/>
                <w:szCs w:val="22"/>
              </w:rPr>
              <w:t xml:space="preserve"> PSI </w:t>
            </w:r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Metodička</w:t>
            </w:r>
            <w:proofErr w:type="spellEnd"/>
            <w:r w:rsidRPr="00B700D8">
              <w:rPr>
                <w:sz w:val="22"/>
                <w:szCs w:val="22"/>
              </w:rPr>
              <w:t xml:space="preserve"> PSI</w:t>
            </w:r>
          </w:p>
        </w:tc>
      </w:tr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Kontaktovanie</w:t>
            </w:r>
            <w:proofErr w:type="spellEnd"/>
            <w:r w:rsidRPr="00B700D8">
              <w:rPr>
                <w:sz w:val="22"/>
                <w:szCs w:val="22"/>
              </w:rPr>
              <w:t xml:space="preserve"> RÚVZ (</w:t>
            </w:r>
            <w:proofErr w:type="spellStart"/>
            <w:r w:rsidRPr="00B700D8">
              <w:rPr>
                <w:sz w:val="22"/>
                <w:szCs w:val="22"/>
              </w:rPr>
              <w:t>podľa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miesta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pôsobenia</w:t>
            </w:r>
            <w:proofErr w:type="spellEnd"/>
            <w:r w:rsidRPr="00B700D8">
              <w:rPr>
                <w:sz w:val="22"/>
                <w:szCs w:val="22"/>
              </w:rPr>
              <w:t xml:space="preserve"> KC) v </w:t>
            </w:r>
            <w:proofErr w:type="spellStart"/>
            <w:r w:rsidRPr="00B700D8">
              <w:rPr>
                <w:sz w:val="22"/>
                <w:szCs w:val="22"/>
              </w:rPr>
              <w:t>prípade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potreby</w:t>
            </w:r>
            <w:proofErr w:type="spellEnd"/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Vedúci</w:t>
            </w:r>
            <w:proofErr w:type="spellEnd"/>
            <w:r w:rsidRPr="00B700D8">
              <w:rPr>
                <w:sz w:val="22"/>
                <w:szCs w:val="22"/>
              </w:rPr>
              <w:t xml:space="preserve"> PSI</w:t>
            </w:r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Metodička</w:t>
            </w:r>
            <w:proofErr w:type="spellEnd"/>
            <w:r w:rsidRPr="00B700D8">
              <w:rPr>
                <w:sz w:val="22"/>
                <w:szCs w:val="22"/>
              </w:rPr>
              <w:t xml:space="preserve"> PSI</w:t>
            </w:r>
          </w:p>
        </w:tc>
      </w:tr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informovanie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pracovníkov</w:t>
            </w:r>
            <w:proofErr w:type="spellEnd"/>
            <w:r w:rsidRPr="00B700D8">
              <w:rPr>
                <w:sz w:val="22"/>
                <w:szCs w:val="22"/>
              </w:rPr>
              <w:t xml:space="preserve"> KC o </w:t>
            </w:r>
            <w:proofErr w:type="spellStart"/>
            <w:r w:rsidRPr="00B700D8">
              <w:rPr>
                <w:sz w:val="22"/>
                <w:szCs w:val="22"/>
              </w:rPr>
              <w:t>používaní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osobných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ochranných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prostriedkov</w:t>
            </w:r>
            <w:proofErr w:type="spellEnd"/>
            <w:r w:rsidRPr="00B700D8">
              <w:rPr>
                <w:sz w:val="22"/>
                <w:szCs w:val="22"/>
              </w:rPr>
              <w:t xml:space="preserve">, </w:t>
            </w:r>
            <w:proofErr w:type="spellStart"/>
            <w:r w:rsidRPr="00B700D8">
              <w:rPr>
                <w:sz w:val="22"/>
                <w:szCs w:val="22"/>
              </w:rPr>
              <w:lastRenderedPageBreak/>
              <w:t>pravidlách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dezinfekcia</w:t>
            </w:r>
            <w:proofErr w:type="spellEnd"/>
            <w:r w:rsidRPr="00B700D8">
              <w:rPr>
                <w:sz w:val="22"/>
                <w:szCs w:val="22"/>
              </w:rPr>
              <w:t xml:space="preserve"> a </w:t>
            </w:r>
            <w:proofErr w:type="spellStart"/>
            <w:r w:rsidRPr="00B700D8">
              <w:rPr>
                <w:sz w:val="22"/>
                <w:szCs w:val="22"/>
              </w:rPr>
              <w:t>aktualizácie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nariadení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krízového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štábu</w:t>
            </w:r>
            <w:proofErr w:type="spellEnd"/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lastRenderedPageBreak/>
              <w:t>Koordinátor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humanitárnej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lastRenderedPageBreak/>
              <w:t>pomoci</w:t>
            </w:r>
            <w:proofErr w:type="spellEnd"/>
            <w:r w:rsidRPr="00B700D8">
              <w:rPr>
                <w:sz w:val="22"/>
                <w:szCs w:val="22"/>
              </w:rPr>
              <w:t>/Security focal point</w:t>
            </w:r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lastRenderedPageBreak/>
              <w:t>Metodička</w:t>
            </w:r>
            <w:proofErr w:type="spellEnd"/>
            <w:r w:rsidRPr="00B700D8">
              <w:rPr>
                <w:sz w:val="22"/>
                <w:szCs w:val="22"/>
              </w:rPr>
              <w:t xml:space="preserve"> PSI</w:t>
            </w:r>
          </w:p>
        </w:tc>
      </w:tr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lastRenderedPageBreak/>
              <w:t>Zodpovedná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osoba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za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dodržiavanie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postupov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používania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osobných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ochranných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prostriedkov</w:t>
            </w:r>
            <w:proofErr w:type="spellEnd"/>
            <w:r w:rsidRPr="00B700D8">
              <w:rPr>
                <w:sz w:val="22"/>
                <w:szCs w:val="22"/>
              </w:rPr>
              <w:t xml:space="preserve"> a </w:t>
            </w:r>
            <w:proofErr w:type="spellStart"/>
            <w:r w:rsidRPr="00B700D8">
              <w:rPr>
                <w:sz w:val="22"/>
                <w:szCs w:val="22"/>
              </w:rPr>
              <w:t>správnej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dezinfekcie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priestorov</w:t>
            </w:r>
            <w:proofErr w:type="spellEnd"/>
            <w:r w:rsidRPr="00B700D8">
              <w:rPr>
                <w:sz w:val="22"/>
                <w:szCs w:val="22"/>
              </w:rPr>
              <w:t xml:space="preserve"> (v </w:t>
            </w:r>
            <w:proofErr w:type="spellStart"/>
            <w:r w:rsidRPr="00B700D8">
              <w:rPr>
                <w:sz w:val="22"/>
                <w:szCs w:val="22"/>
              </w:rPr>
              <w:t>jednotlivých</w:t>
            </w:r>
            <w:proofErr w:type="spellEnd"/>
            <w:r w:rsidRPr="00B700D8">
              <w:rPr>
                <w:sz w:val="22"/>
                <w:szCs w:val="22"/>
              </w:rPr>
              <w:t xml:space="preserve"> KC)</w:t>
            </w:r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OG</w:t>
            </w:r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OPKC</w:t>
            </w:r>
          </w:p>
        </w:tc>
      </w:tr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Meranie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teploty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pracovníkov</w:t>
            </w:r>
            <w:proofErr w:type="spellEnd"/>
            <w:r w:rsidRPr="00B700D8">
              <w:rPr>
                <w:sz w:val="22"/>
                <w:szCs w:val="22"/>
              </w:rPr>
              <w:t xml:space="preserve"> KC </w:t>
            </w:r>
            <w:proofErr w:type="spellStart"/>
            <w:r w:rsidRPr="00B700D8">
              <w:rPr>
                <w:sz w:val="22"/>
                <w:szCs w:val="22"/>
              </w:rPr>
              <w:t>pri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príchode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na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pracovisko</w:t>
            </w:r>
            <w:proofErr w:type="spellEnd"/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OG</w:t>
            </w:r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OPKC</w:t>
            </w:r>
          </w:p>
        </w:tc>
      </w:tr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Zabezpečovanie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dezinfekcie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priestorov</w:t>
            </w:r>
            <w:proofErr w:type="spellEnd"/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PKC</w:t>
            </w:r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OPKC</w:t>
            </w:r>
          </w:p>
        </w:tc>
      </w:tr>
      <w:tr w:rsidR="00D75CDF" w:rsidRPr="00B700D8" w:rsidTr="00E24CB8">
        <w:tc>
          <w:tcPr>
            <w:tcW w:w="424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700D8">
              <w:rPr>
                <w:sz w:val="22"/>
                <w:szCs w:val="22"/>
              </w:rPr>
              <w:t>Sledovanie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zásob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osobných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ochranných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prostriedkov</w:t>
            </w:r>
            <w:proofErr w:type="spellEnd"/>
            <w:r w:rsidRPr="00B700D8">
              <w:rPr>
                <w:sz w:val="22"/>
                <w:szCs w:val="22"/>
              </w:rPr>
              <w:t xml:space="preserve"> a </w:t>
            </w:r>
            <w:proofErr w:type="spellStart"/>
            <w:r w:rsidRPr="00B700D8">
              <w:rPr>
                <w:sz w:val="22"/>
                <w:szCs w:val="22"/>
              </w:rPr>
              <w:t>prostriedkov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na</w:t>
            </w:r>
            <w:proofErr w:type="spellEnd"/>
            <w:r w:rsidRPr="00B700D8">
              <w:rPr>
                <w:sz w:val="22"/>
                <w:szCs w:val="22"/>
              </w:rPr>
              <w:t xml:space="preserve"> </w:t>
            </w:r>
            <w:proofErr w:type="spellStart"/>
            <w:r w:rsidRPr="00B700D8">
              <w:rPr>
                <w:sz w:val="22"/>
                <w:szCs w:val="22"/>
              </w:rPr>
              <w:t>dezinfekciu</w:t>
            </w:r>
            <w:proofErr w:type="spellEnd"/>
          </w:p>
        </w:tc>
        <w:tc>
          <w:tcPr>
            <w:tcW w:w="1984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OPKC</w:t>
            </w:r>
          </w:p>
        </w:tc>
        <w:tc>
          <w:tcPr>
            <w:tcW w:w="2410" w:type="dxa"/>
          </w:tcPr>
          <w:p w:rsidR="00D75CDF" w:rsidRPr="00B700D8" w:rsidRDefault="00D75CDF" w:rsidP="00D75CDF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PKC</w:t>
            </w:r>
          </w:p>
        </w:tc>
      </w:tr>
    </w:tbl>
    <w:p w:rsidR="00D75CDF" w:rsidRPr="00B700D8" w:rsidRDefault="00D75CDF" w:rsidP="00D75CDF">
      <w:pPr>
        <w:spacing w:line="240" w:lineRule="auto"/>
        <w:jc w:val="both"/>
        <w:rPr>
          <w:color w:val="0563C1"/>
          <w:sz w:val="22"/>
          <w:szCs w:val="22"/>
        </w:rPr>
      </w:pPr>
    </w:p>
    <w:p w:rsidR="00D75CDF" w:rsidRPr="003344F7" w:rsidRDefault="00D75CDF" w:rsidP="003344F7">
      <w:pPr>
        <w:pStyle w:val="ListParagraph"/>
        <w:numPr>
          <w:ilvl w:val="0"/>
          <w:numId w:val="32"/>
        </w:numPr>
        <w:tabs>
          <w:tab w:val="left" w:pos="364"/>
        </w:tabs>
        <w:spacing w:line="240" w:lineRule="auto"/>
        <w:jc w:val="both"/>
        <w:rPr>
          <w:b/>
          <w:bCs/>
          <w:sz w:val="22"/>
          <w:szCs w:val="22"/>
        </w:rPr>
      </w:pPr>
      <w:r w:rsidRPr="003344F7">
        <w:rPr>
          <w:b/>
          <w:bCs/>
          <w:sz w:val="22"/>
          <w:szCs w:val="22"/>
        </w:rPr>
        <w:t xml:space="preserve">Zabezpečenie ochrany </w:t>
      </w:r>
      <w:r w:rsidR="0098412E">
        <w:rPr>
          <w:b/>
          <w:bCs/>
          <w:sz w:val="22"/>
          <w:szCs w:val="22"/>
        </w:rPr>
        <w:t>zamestnancov KC</w:t>
      </w:r>
    </w:p>
    <w:p w:rsidR="00D75CDF" w:rsidRPr="00B700D8" w:rsidRDefault="00D75CDF" w:rsidP="00760AC7">
      <w:pPr>
        <w:spacing w:line="240" w:lineRule="auto"/>
        <w:ind w:left="4"/>
        <w:jc w:val="both"/>
        <w:rPr>
          <w:color w:val="0563C1"/>
          <w:sz w:val="22"/>
          <w:szCs w:val="22"/>
        </w:rPr>
      </w:pPr>
      <w:r w:rsidRPr="00B700D8">
        <w:rPr>
          <w:sz w:val="22"/>
          <w:szCs w:val="22"/>
        </w:rPr>
        <w:t>Zamestnávateľ je podľa § 147 ods. 1 Zákonníka práce povinný sústavne zaisťovať bezpečnosť a ochranu zdravia zamestnancov pri práci a na tento účel vykonávať potrebné opatrenia vrátane zabezpečovania prevencie, potrebných prostriedkov a vhodného systému riadenia ochrany práce.</w:t>
      </w:r>
    </w:p>
    <w:p w:rsidR="00D75CDF" w:rsidRPr="00B700D8" w:rsidRDefault="00D75CDF" w:rsidP="00760AC7">
      <w:pPr>
        <w:spacing w:line="240" w:lineRule="auto"/>
        <w:ind w:left="4" w:right="20"/>
        <w:jc w:val="both"/>
        <w:rPr>
          <w:color w:val="0563C1"/>
          <w:sz w:val="22"/>
          <w:szCs w:val="22"/>
        </w:rPr>
      </w:pPr>
      <w:r w:rsidRPr="00B700D8">
        <w:rPr>
          <w:sz w:val="22"/>
          <w:szCs w:val="22"/>
        </w:rPr>
        <w:t>V nadväznosti na všeobecnú povinnosť zamestnávateľa je upravená povinnosť zamestnávateľa v § 6 ods. 1 písm. j) zákona o BOZP, podľa ktorého je zamestnávateľ povinný určovať a zabezpečovať ochranné opatrenia, ktoré sa musia vykonať, a ak je to potrebné, určovať a zabezpečovať ochranné prostriedky, ktoré sa musia používať.</w:t>
      </w:r>
    </w:p>
    <w:p w:rsidR="00D75CDF" w:rsidRPr="00B700D8" w:rsidRDefault="00D75CDF" w:rsidP="00D75CDF">
      <w:pPr>
        <w:spacing w:line="240" w:lineRule="auto"/>
        <w:ind w:left="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Podľa § 6 ods. 7 zákona o BOZP je zamestnávateľ povinný starať sa o bezpečnosť a ochranu zdravia všetkých osôb, ktoré sa nachádzajú s jeho vedomím na jeho pracoviskách alebo v jeho priestoroch, napr. zamestnanci musia byť teoreticky a prakticky zaškolení k tomu, ako si vybrať vhodné pomôcky, správne ich používať a likvidovať tak, aby sa zabránilo expozícii infekciou.</w:t>
      </w:r>
    </w:p>
    <w:p w:rsidR="00D75CDF" w:rsidRPr="00B700D8" w:rsidRDefault="00D75CDF" w:rsidP="00D75CDF">
      <w:pPr>
        <w:spacing w:line="240" w:lineRule="auto"/>
        <w:ind w:left="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Na základe uvedených skutočností sú prijaté tieto preventívne opatrenia:</w:t>
      </w:r>
    </w:p>
    <w:p w:rsidR="00D75CDF" w:rsidRPr="00B700D8" w:rsidRDefault="00D75CDF" w:rsidP="00760AC7">
      <w:pPr>
        <w:tabs>
          <w:tab w:val="left" w:pos="703"/>
        </w:tabs>
        <w:spacing w:line="240" w:lineRule="auto"/>
        <w:ind w:left="724" w:hanging="359"/>
        <w:jc w:val="both"/>
        <w:rPr>
          <w:rFonts w:eastAsia="Times New Roman"/>
          <w:sz w:val="22"/>
          <w:szCs w:val="22"/>
        </w:rPr>
      </w:pPr>
      <w:r w:rsidRPr="00B700D8">
        <w:rPr>
          <w:sz w:val="22"/>
          <w:szCs w:val="22"/>
        </w:rPr>
        <w:t>1.</w:t>
      </w:r>
      <w:r w:rsidRPr="00B700D8">
        <w:rPr>
          <w:rFonts w:eastAsia="Times New Roman"/>
          <w:sz w:val="22"/>
          <w:szCs w:val="22"/>
        </w:rPr>
        <w:tab/>
      </w:r>
      <w:r w:rsidRPr="00B700D8">
        <w:rPr>
          <w:sz w:val="22"/>
          <w:szCs w:val="22"/>
        </w:rPr>
        <w:t>Zabezpečenie   dodatočného   materiálno-technického   vybavenia   v súvislosti s poskytovaním sociálnej služby KC - teplomery, dezinfekčné prostriedky,</w:t>
      </w:r>
      <w:r w:rsidR="00760AC7">
        <w:rPr>
          <w:sz w:val="22"/>
          <w:szCs w:val="22"/>
        </w:rPr>
        <w:t xml:space="preserve"> </w:t>
      </w:r>
      <w:r w:rsidRPr="00B700D8">
        <w:rPr>
          <w:sz w:val="22"/>
          <w:szCs w:val="22"/>
        </w:rPr>
        <w:t>OOPP (najmä rúška, respirátory, rukavice, okuliare, ochranné štíty), potreby a pomôcky na upratovanie, voda a iné podľa príslušných nariadení;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right="20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Pravidelné a dôsledné umývanie rúk mydlom a vodou / alebo prostriedkom na báze alkoholu: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pred odchodom z domu,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pri príchode do práce,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po použití toalety,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po prestávke a denných pracovných činnostiach,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pred prípravou jedla a nápojov,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pred a po konzumácii jedla a nápojov, vrátane desiat,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pred odchodom z práce,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pri príchode domov,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po každom priamom kontakte s chorým alebo izolovaným klientom,</w:t>
      </w:r>
    </w:p>
    <w:p w:rsidR="00D75CDF" w:rsidRPr="00B700D8" w:rsidRDefault="00D75CDF" w:rsidP="00D75CDF">
      <w:pPr>
        <w:numPr>
          <w:ilvl w:val="1"/>
          <w:numId w:val="4"/>
        </w:numPr>
        <w:tabs>
          <w:tab w:val="left" w:pos="1124"/>
        </w:tabs>
        <w:spacing w:line="240" w:lineRule="auto"/>
        <w:ind w:left="1124" w:hanging="351"/>
        <w:jc w:val="both"/>
        <w:rPr>
          <w:sz w:val="22"/>
          <w:szCs w:val="22"/>
        </w:rPr>
      </w:pPr>
      <w:r w:rsidRPr="00B700D8">
        <w:rPr>
          <w:sz w:val="22"/>
          <w:szCs w:val="22"/>
        </w:rPr>
        <w:lastRenderedPageBreak/>
        <w:t>nepoužívať spoločné uteráky a predmety osobnej potreby.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right="20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Zabezpečenie a dôsledná kontrola používania ochranných rukavíc na pracovisku. Rukavice musia byť pevné a odolné – vhodné na ochranu proti vírusom.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right="20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Zabezpečenie a dôsledná kontrola používania rúšok / respirátorov na všetkých pracoviskách u všetkých pracovných pozícií.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right="20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Zavedenie systému merania telesnej teploty na pracovisku u každého zamestnanca pred príchodom na pracovisko. Určiť zodpovednú osobu, ktorá bude meranie vykonávať.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right="20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Poučenie zamestnancov o povinnosti merania teploty i doma (večer a ráno) pred nástupom do práce. Zamestnanec, ktorý prejavuje príznaky ochorenia nemôže nastúpiť do práce.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right="20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Dodržiavanie odstupu od ostatných zamestnancov na pracovisku minimálne vo vzdialenosti 2 metre.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Tam, kde je to možné ponechať otvorené dvere, aby sa predišlo dotýkaniu kľučky dverí.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Obmedziť úplne osobné stretávanie zamestnancov na pracovisku (porady, mítingy).</w:t>
      </w:r>
    </w:p>
    <w:p w:rsidR="00D75CDF" w:rsidRPr="00B700D8" w:rsidRDefault="00D75CDF" w:rsidP="00D75CDF">
      <w:pPr>
        <w:numPr>
          <w:ilvl w:val="0"/>
          <w:numId w:val="4"/>
        </w:numPr>
        <w:tabs>
          <w:tab w:val="left" w:pos="724"/>
        </w:tabs>
        <w:spacing w:line="240" w:lineRule="auto"/>
        <w:ind w:left="724" w:hanging="364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Určiť postupný režim stravovania zamestnancov na pracovisku. Každý zamestnanec sa stravuje pri stole sám.</w:t>
      </w:r>
    </w:p>
    <w:p w:rsidR="00D75CDF" w:rsidRDefault="00D75CDF" w:rsidP="00D75CDF">
      <w:pPr>
        <w:numPr>
          <w:ilvl w:val="0"/>
          <w:numId w:val="4"/>
        </w:numPr>
        <w:spacing w:line="240" w:lineRule="auto"/>
        <w:ind w:left="724" w:hanging="364"/>
        <w:jc w:val="both"/>
      </w:pPr>
      <w:r w:rsidRPr="00B700D8">
        <w:rPr>
          <w:sz w:val="22"/>
          <w:szCs w:val="22"/>
        </w:rPr>
        <w:t xml:space="preserve">Zamestnanec má povinnosť s ohľadom na platnú legislatívu Zákonníka práce zamestnávateľa informovať o tom, že sa vrátil on alebo jeho blízky príbuzný resp. blízka osoba z rizikovej oblasti zasiahnutej </w:t>
      </w:r>
      <w:proofErr w:type="spellStart"/>
      <w:r w:rsidRPr="00B700D8">
        <w:rPr>
          <w:sz w:val="22"/>
          <w:szCs w:val="22"/>
        </w:rPr>
        <w:t>koronavírusom</w:t>
      </w:r>
      <w:proofErr w:type="spellEnd"/>
      <w:r w:rsidRPr="00B700D8">
        <w:rPr>
          <w:sz w:val="22"/>
          <w:szCs w:val="22"/>
        </w:rPr>
        <w:t>, alebo o tom, že v jeho domácnosti alebo blízkom okolí bol v priamom kontakte s osobou, ktorej bola zistená t. j. laboratórnym vyšetrením na ÚVZ SR potvrdená infekcia COVID-19 alebo je v izolácii pre podozrenie na infekciu a nie sú ešte výsledky vyšetrenia známe. Uvedené platí aj pre prípad, ak sa zamestnanec dostal do kontaktu s infikovaným prijímateľom sociálnej služby KC.</w:t>
      </w:r>
    </w:p>
    <w:p w:rsidR="00D75CDF" w:rsidRPr="00B700D8" w:rsidRDefault="00D75CDF" w:rsidP="00D75CDF">
      <w:pPr>
        <w:numPr>
          <w:ilvl w:val="0"/>
          <w:numId w:val="4"/>
        </w:numPr>
        <w:spacing w:line="240" w:lineRule="auto"/>
        <w:ind w:left="724" w:hanging="364"/>
        <w:jc w:val="both"/>
      </w:pPr>
      <w:r w:rsidRPr="00B700D8">
        <w:t>Zamestnávateľ je vzhľadom na povinnosť predchádzať rizikám z hľadiska bezpečnosti a ochrany zdravia pri práci oprávnený vyzvať zamestnanca, aby sa podrobil vyšetreniu u všeobecného lekára (ktorého má kontaktovať najskôr telefonicky a podľa inštrukcií buď prísť na vyšetrenie alebo zostať v domácej izolácii a pod.), popr. hygienika príslušného RÚVZ, najmä ak je dôvodné podozrenie nebezpečenstva vzhľadom k vykonávanej práci alebo má zamestnávateľ podozrenie, že zamestnanec nie je spôsobilý vykonávať prácu pre možnosť infekcie COVID-19. O prípadnom nariadení</w:t>
      </w:r>
    </w:p>
    <w:p w:rsidR="00D75CDF" w:rsidRDefault="00D75CDF" w:rsidP="00D75CDF">
      <w:pPr>
        <w:spacing w:line="240" w:lineRule="auto"/>
        <w:ind w:left="724"/>
        <w:jc w:val="both"/>
      </w:pPr>
    </w:p>
    <w:p w:rsidR="00D75CDF" w:rsidRPr="003344F7" w:rsidRDefault="00D75CDF" w:rsidP="003344F7">
      <w:pPr>
        <w:pStyle w:val="ListParagraph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b/>
          <w:bCs/>
          <w:sz w:val="22"/>
          <w:szCs w:val="22"/>
        </w:rPr>
      </w:pPr>
      <w:proofErr w:type="spellStart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>Zabezpečenie</w:t>
      </w:r>
      <w:proofErr w:type="spellEnd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>priestorov</w:t>
      </w:r>
      <w:proofErr w:type="spellEnd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 xml:space="preserve"> KC v </w:t>
      </w:r>
      <w:proofErr w:type="spellStart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>rámci</w:t>
      </w:r>
      <w:proofErr w:type="spellEnd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>krízovej</w:t>
      </w:r>
      <w:proofErr w:type="spellEnd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3344F7">
        <w:rPr>
          <w:rFonts w:eastAsia="Times New Roman" w:cs="Times New Roman"/>
          <w:b/>
          <w:bCs/>
          <w:sz w:val="22"/>
          <w:szCs w:val="22"/>
          <w:lang w:val="en-US"/>
        </w:rPr>
        <w:t>situácie</w:t>
      </w:r>
      <w:proofErr w:type="spellEnd"/>
      <w:r w:rsidRPr="003344F7">
        <w:rPr>
          <w:rFonts w:eastAsia="Times New Roman" w:cs="Times New Roman"/>
          <w:sz w:val="22"/>
          <w:szCs w:val="22"/>
          <w:lang w:val="en-US"/>
        </w:rPr>
        <w:t xml:space="preserve"> </w:t>
      </w:r>
    </w:p>
    <w:p w:rsidR="00D75CDF" w:rsidRPr="00B700D8" w:rsidRDefault="00D75CDF" w:rsidP="00D75CDF">
      <w:pPr>
        <w:spacing w:line="240" w:lineRule="auto"/>
        <w:jc w:val="both"/>
        <w:rPr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KC by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mali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byť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prispôsobené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krízovej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situácií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t. j.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poskytovateľ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KC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zabezpečí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nasledovné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činnosti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>:</w:t>
      </w:r>
    </w:p>
    <w:p w:rsidR="00D75CDF" w:rsidRPr="00B700D8" w:rsidRDefault="00D75CDF" w:rsidP="00C54477">
      <w:pPr>
        <w:spacing w:after="0" w:line="240" w:lineRule="auto"/>
        <w:jc w:val="both"/>
        <w:rPr>
          <w:sz w:val="22"/>
          <w:szCs w:val="22"/>
        </w:rPr>
      </w:pPr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Poskytovateľ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vytvorí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vstupe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pre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výkon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skríningu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t.j.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filter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pred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vstupom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do KC –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filtri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bude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prijímateľom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merať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telesná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teplota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                                                      </w:t>
      </w:r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Zadefinovanie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pohybu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cieľových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skupín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v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podľa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veľkosti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členenia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možnosťou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dodržiavať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odstup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minimálne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2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metre</w:t>
      </w:r>
      <w:proofErr w:type="spellEnd"/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B700D8">
        <w:rPr>
          <w:rFonts w:eastAsia="Times New Roman" w:cs="Times New Roman"/>
          <w:sz w:val="22"/>
          <w:szCs w:val="22"/>
          <w:lang w:val="en-US"/>
        </w:rPr>
        <w:t xml:space="preserve">V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prípade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možnosti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nechať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dvere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do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otvorené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aby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znížil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možný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prenos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z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dôvodu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otvárania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dverí</w:t>
      </w:r>
      <w:proofErr w:type="spellEnd"/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Zverejnenie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všetkých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kontaktov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informácií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vstupných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dverách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do KC bez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potreby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do KC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vstupovať</w:t>
      </w:r>
      <w:proofErr w:type="spellEnd"/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Označenie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informáciou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čo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musia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prijímatelia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sociálnych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služieb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vykonať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aby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mohli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vstúpiť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do KC: “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Vstup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len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ochranných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rúškom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dezinfekcia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rúk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>”.</w:t>
      </w:r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lastRenderedPageBreak/>
        <w:t>Označenie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>: „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Vstup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len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jednom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v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prípade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maloletých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len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jedným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B700D8">
        <w:rPr>
          <w:rFonts w:eastAsia="Times New Roman" w:cs="Times New Roman"/>
          <w:sz w:val="22"/>
          <w:szCs w:val="22"/>
          <w:lang w:val="en-US"/>
        </w:rPr>
        <w:t>rodičom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>“</w:t>
      </w:r>
      <w:proofErr w:type="gramEnd"/>
      <w:r w:rsidRPr="00B700D8">
        <w:rPr>
          <w:rFonts w:eastAsia="Times New Roman" w:cs="Times New Roman"/>
          <w:sz w:val="22"/>
          <w:szCs w:val="22"/>
          <w:lang w:val="en-US"/>
        </w:rPr>
        <w:t>.</w:t>
      </w:r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B700D8">
        <w:rPr>
          <w:rFonts w:eastAsia="Times New Roman" w:cs="Times New Roman"/>
          <w:sz w:val="22"/>
          <w:szCs w:val="22"/>
          <w:lang w:val="en-US"/>
        </w:rPr>
        <w:t xml:space="preserve">Je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potrebné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zvýšenie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frekvencie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upratovania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pracovisku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Dezinfikovať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predovšetkým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predmety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ktorých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bežne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dotýkajú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zamestnanci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KC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prijímatelia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sociálnej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služby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–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kľučky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zvončeky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vypínače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vodovodné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batérie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toalety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zábradlia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lavice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stoličky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pracovný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stôl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klávesnica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myš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pod.</w:t>
      </w:r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Povinnosťou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poskytovateľa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sociálnej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služby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je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zabezpečiť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dezinfikovanie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KC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každej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individuálnej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intervencii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pred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vstupom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nového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prijímateľa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sociálnej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služby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Zároveň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je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potrebné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dezinfikovať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všetky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dennej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báze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ukončení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pracovného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času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Odporúčajú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dezinfikovať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prostriedkami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obsahom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chlóru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resp.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jódu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V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čase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neprítomnosti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klientov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pracovníkov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pracovisku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nastáví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zamestnanec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KC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zapnutie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germicídneho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žiariča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obdobie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minimálne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2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hodiny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</w:t>
      </w:r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B700D8">
        <w:rPr>
          <w:rFonts w:eastAsia="Times New Roman" w:cs="Times New Roman"/>
          <w:sz w:val="22"/>
          <w:szCs w:val="22"/>
          <w:lang w:val="en-US"/>
        </w:rPr>
        <w:t xml:space="preserve">Na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zber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skladovanie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odpadu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je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potrebné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vyčlenené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vyhovujúce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dostupné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vhodné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vrecia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aby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nedochádzalo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k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jeho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hromadeniu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vzniku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sekundárnych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zdrojov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Odpad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má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byť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vložený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do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plastových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vriec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odpad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zviazaný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Plastové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vrecia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ktoré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sú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používané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pre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tento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druh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odpadu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musia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maximálny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objem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0,1 m</w:t>
      </w:r>
      <w:r w:rsidRPr="00B700D8">
        <w:rPr>
          <w:rFonts w:eastAsia="Times New Roman" w:cs="Times New Roman"/>
          <w:sz w:val="22"/>
          <w:szCs w:val="22"/>
          <w:vertAlign w:val="superscript"/>
          <w:lang w:val="en-US"/>
        </w:rPr>
        <w:t>3</w:t>
      </w:r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hrúbku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minimálne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0,1 mm.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Tento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odpad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je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povinnosť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zatriediť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do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kategórie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nebezpečný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v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súlade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legislatívou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ním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nakladať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.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narábaní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s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týmto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odpadom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sa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musia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používať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OOPP.</w:t>
      </w:r>
    </w:p>
    <w:p w:rsidR="00D75CDF" w:rsidRPr="00B700D8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Jednorazové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pomôcky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musia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byť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bezpečne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likvidované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ihneď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použití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v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nádobe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to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určenej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a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označenej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biohazard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alebo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biologický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odpad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>.</w:t>
      </w:r>
    </w:p>
    <w:p w:rsidR="00D75CDF" w:rsidRPr="00D75CDF" w:rsidRDefault="00D75CDF" w:rsidP="00C544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Pracovníci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KC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zabezpečia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pravidelné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vetranie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všetkých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pracovných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B700D8">
        <w:rPr>
          <w:rFonts w:eastAsia="Times New Roman" w:cs="Times New Roman"/>
          <w:sz w:val="22"/>
          <w:szCs w:val="22"/>
          <w:lang w:val="en-US"/>
        </w:rPr>
        <w:t>priestorov</w:t>
      </w:r>
      <w:proofErr w:type="spellEnd"/>
      <w:r w:rsidRPr="00B700D8">
        <w:rPr>
          <w:rFonts w:eastAsia="Times New Roman" w:cs="Times New Roman"/>
          <w:sz w:val="22"/>
          <w:szCs w:val="22"/>
          <w:lang w:val="en-US"/>
        </w:rPr>
        <w:t>.</w:t>
      </w:r>
    </w:p>
    <w:p w:rsidR="00D75CDF" w:rsidRPr="00D75CDF" w:rsidRDefault="00D75CDF" w:rsidP="00D75CDF">
      <w:pPr>
        <w:pStyle w:val="ListParagraph"/>
        <w:rPr>
          <w:rFonts w:eastAsia="Times New Roman" w:cs="Times New Roman"/>
          <w:sz w:val="22"/>
          <w:szCs w:val="22"/>
        </w:rPr>
      </w:pPr>
    </w:p>
    <w:p w:rsidR="00D75CDF" w:rsidRPr="00B700D8" w:rsidRDefault="00D75CDF" w:rsidP="00D75CDF">
      <w:pPr>
        <w:pStyle w:val="ListParagraph"/>
        <w:spacing w:line="240" w:lineRule="auto"/>
        <w:jc w:val="both"/>
        <w:rPr>
          <w:rFonts w:eastAsia="Times New Roman" w:cs="Times New Roman"/>
          <w:sz w:val="22"/>
          <w:szCs w:val="22"/>
        </w:rPr>
      </w:pPr>
    </w:p>
    <w:p w:rsidR="00D75CDF" w:rsidRPr="003344F7" w:rsidRDefault="00D75CDF" w:rsidP="003344F7">
      <w:pPr>
        <w:pStyle w:val="ListParagraph"/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rFonts w:cstheme="minorHAnsi"/>
          <w:b/>
          <w:bCs/>
          <w:sz w:val="22"/>
          <w:szCs w:val="22"/>
        </w:rPr>
      </w:pPr>
      <w:r w:rsidRPr="003344F7">
        <w:rPr>
          <w:rFonts w:cstheme="minorHAnsi"/>
          <w:b/>
          <w:bCs/>
          <w:sz w:val="22"/>
          <w:szCs w:val="22"/>
        </w:rPr>
        <w:t>Odporúčané činnosti pre pracovníkov v KC v rámci krízovej situácie</w:t>
      </w:r>
    </w:p>
    <w:p w:rsidR="00D75CDF" w:rsidRPr="00D75CDF" w:rsidRDefault="00D75CDF" w:rsidP="00D75CDF">
      <w:pPr>
        <w:spacing w:line="240" w:lineRule="auto"/>
        <w:ind w:left="4"/>
        <w:jc w:val="both"/>
        <w:rPr>
          <w:rFonts w:cstheme="minorHAnsi"/>
          <w:sz w:val="22"/>
          <w:szCs w:val="22"/>
        </w:rPr>
      </w:pPr>
      <w:r w:rsidRPr="00D75CDF">
        <w:rPr>
          <w:rFonts w:cstheme="minorHAnsi"/>
          <w:sz w:val="22"/>
          <w:szCs w:val="22"/>
        </w:rPr>
        <w:t>Prevencia pred COVID-19 je dôležitou súčasťou podpory prijímateľov sociálnych služieb a ich blízkych osôb. Preto je potrebné otvorene o nej hovoriť s prijímateľmi sociálnych služieb. Postupy, ktoré zamestnanci KC zvolia, majú byť v  súlade so zákonom 448/2008 Z. z. o sociálnych službách v znení neskorších predpisov, kde v §6 ods. 2 uvádza: „Fyzická osoba má právo na poskytovanie sociálnej služby, ktorá svojim rozsahom, formou a spôsobom poskytovania umožňuje realizovať jej základné ľudské práva a slobody, zachováva jej ľudskú dôstojnosť, aktivizuje ju k posilneniu sebestačnosti, zabraňuje jej sociálnemu vylúčeniu a podporuje jej začlenenie do spoločnosti.“</w:t>
      </w:r>
    </w:p>
    <w:p w:rsidR="00D75CDF" w:rsidRPr="00D75CDF" w:rsidRDefault="00D75CDF" w:rsidP="00D75CDF">
      <w:pPr>
        <w:spacing w:line="240" w:lineRule="auto"/>
        <w:ind w:left="4"/>
        <w:jc w:val="both"/>
        <w:rPr>
          <w:rFonts w:cstheme="minorHAnsi"/>
          <w:sz w:val="22"/>
          <w:szCs w:val="22"/>
        </w:rPr>
      </w:pPr>
      <w:r w:rsidRPr="00D75CDF">
        <w:rPr>
          <w:rFonts w:cstheme="minorHAnsi"/>
          <w:sz w:val="22"/>
          <w:szCs w:val="22"/>
        </w:rPr>
        <w:t>Keďže počas výnimočnej situácie je zakázané vykonávať skupinové aktivity, pracovníci KC naďalej – za dodržiavania prísnych hygienických podmienok – udržiavajú kontakt (telefonický, e-mailový, osobný – návšteva terénu atď.) s prijímateľmi sociálnych služieb.</w:t>
      </w:r>
    </w:p>
    <w:p w:rsidR="00D75CDF" w:rsidRPr="00D75CDF" w:rsidRDefault="00D75CDF" w:rsidP="00D75CDF">
      <w:pPr>
        <w:spacing w:line="240" w:lineRule="auto"/>
        <w:ind w:left="4"/>
        <w:jc w:val="both"/>
        <w:rPr>
          <w:rFonts w:cstheme="minorHAnsi"/>
          <w:sz w:val="22"/>
          <w:szCs w:val="22"/>
        </w:rPr>
      </w:pPr>
    </w:p>
    <w:p w:rsidR="00D75CDF" w:rsidRPr="00D75CDF" w:rsidRDefault="00D75CDF" w:rsidP="00D75CDF">
      <w:pPr>
        <w:spacing w:line="240" w:lineRule="auto"/>
        <w:ind w:left="4"/>
        <w:jc w:val="both"/>
        <w:rPr>
          <w:rFonts w:cstheme="minorHAnsi"/>
          <w:b/>
          <w:sz w:val="22"/>
          <w:szCs w:val="22"/>
        </w:rPr>
      </w:pPr>
      <w:r w:rsidRPr="00D75CDF">
        <w:rPr>
          <w:rFonts w:cstheme="minorHAnsi"/>
          <w:b/>
          <w:sz w:val="22"/>
          <w:szCs w:val="22"/>
        </w:rPr>
        <w:t>Pracovníci KC ďalej zabezpečujú nasledovné činnosti: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 w:cstheme="minorHAnsi"/>
          <w:sz w:val="22"/>
          <w:szCs w:val="22"/>
          <w:vertAlign w:val="superscript"/>
        </w:rPr>
      </w:pPr>
      <w:r w:rsidRPr="00C54477">
        <w:rPr>
          <w:rFonts w:cstheme="minorHAnsi"/>
          <w:sz w:val="22"/>
          <w:szCs w:val="22"/>
        </w:rPr>
        <w:t xml:space="preserve">zverejnenie všetkých kontaktov  KC (tel. číslo, email. kontakt, web stránka poskytovateľa , </w:t>
      </w:r>
      <w:proofErr w:type="spellStart"/>
      <w:r w:rsidRPr="00C54477">
        <w:rPr>
          <w:rFonts w:cstheme="minorHAnsi"/>
          <w:sz w:val="22"/>
          <w:szCs w:val="22"/>
        </w:rPr>
        <w:t>fb</w:t>
      </w:r>
      <w:proofErr w:type="spellEnd"/>
      <w:r w:rsidRPr="00C54477">
        <w:rPr>
          <w:rFonts w:cstheme="minorHAnsi"/>
          <w:sz w:val="22"/>
          <w:szCs w:val="22"/>
        </w:rPr>
        <w:t xml:space="preserve"> stránka KC ) na vchodových dverách KC a na iných vhodných miestach (informačné tabule, webové sídlo poskytovateľa, rozhlas, miestna tlač a televízia, a pod.),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 w:cstheme="minorHAnsi"/>
          <w:sz w:val="22"/>
          <w:szCs w:val="22"/>
          <w:vertAlign w:val="superscript"/>
        </w:rPr>
      </w:pPr>
      <w:r w:rsidRPr="00C54477">
        <w:rPr>
          <w:rFonts w:cstheme="minorHAnsi"/>
          <w:sz w:val="22"/>
          <w:szCs w:val="22"/>
        </w:rPr>
        <w:t>priebežné mapovanie aktuálnej situácie v komunitách, akým iným - primeraným spôsobom (komunikačným kanálom napr. internet (</w:t>
      </w:r>
      <w:proofErr w:type="spellStart"/>
      <w:r w:rsidRPr="00C54477">
        <w:rPr>
          <w:rFonts w:cstheme="minorHAnsi"/>
          <w:sz w:val="22"/>
          <w:szCs w:val="22"/>
        </w:rPr>
        <w:t>fb</w:t>
      </w:r>
      <w:proofErr w:type="spellEnd"/>
      <w:r w:rsidRPr="00C54477">
        <w:rPr>
          <w:rFonts w:cstheme="minorHAnsi"/>
          <w:sz w:val="22"/>
          <w:szCs w:val="22"/>
        </w:rPr>
        <w:t xml:space="preserve">, </w:t>
      </w:r>
      <w:proofErr w:type="spellStart"/>
      <w:r w:rsidRPr="00C54477">
        <w:rPr>
          <w:rFonts w:cstheme="minorHAnsi"/>
          <w:sz w:val="22"/>
          <w:szCs w:val="22"/>
        </w:rPr>
        <w:t>youtube</w:t>
      </w:r>
      <w:proofErr w:type="spellEnd"/>
      <w:r w:rsidRPr="00C54477">
        <w:rPr>
          <w:rFonts w:cstheme="minorHAnsi"/>
          <w:sz w:val="22"/>
          <w:szCs w:val="22"/>
        </w:rPr>
        <w:t xml:space="preserve">, </w:t>
      </w:r>
      <w:proofErr w:type="spellStart"/>
      <w:r w:rsidRPr="00C54477">
        <w:rPr>
          <w:rFonts w:cstheme="minorHAnsi"/>
          <w:sz w:val="22"/>
          <w:szCs w:val="22"/>
        </w:rPr>
        <w:t>linkedin</w:t>
      </w:r>
      <w:proofErr w:type="spellEnd"/>
      <w:r w:rsidRPr="00C54477">
        <w:rPr>
          <w:rFonts w:cstheme="minorHAnsi"/>
          <w:sz w:val="22"/>
          <w:szCs w:val="22"/>
        </w:rPr>
        <w:t>), televízia, rozhlas, obecný rozhlas, telefonický kontakt, megafón, resp. iné), okrem osobného kontaktu, je možné osloviť cieľovú skupinu s cieľom poskytovať informácie o preventívnych opatreniach na zamedzenie šírenia COVID-19, resp. zabezpečenia realizácie aktivít pre výkon KC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ind w:right="100"/>
        <w:jc w:val="both"/>
        <w:rPr>
          <w:rFonts w:eastAsia="Wingdings" w:cstheme="minorHAnsi"/>
          <w:sz w:val="22"/>
          <w:szCs w:val="22"/>
          <w:vertAlign w:val="superscript"/>
        </w:rPr>
      </w:pPr>
      <w:r w:rsidRPr="00C54477">
        <w:rPr>
          <w:rFonts w:cstheme="minorHAnsi"/>
          <w:sz w:val="22"/>
          <w:szCs w:val="22"/>
        </w:rPr>
        <w:t>priebežné mapovanie situácie prijímateľa sociálnej služby - vytipuje osamelo žijúcich užívateľov soc. služby, ktorí nemajú rodinu, alebo rodina žije ďaleko a nemôže zabezpečiť starostlivosť po dobu prípadnej domácej izolácie, o pripraví zoznamy a kontakty s potrebnými informáciami pre záchranárov,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 w:cstheme="minorHAnsi"/>
          <w:sz w:val="22"/>
          <w:szCs w:val="22"/>
          <w:vertAlign w:val="superscript"/>
        </w:rPr>
      </w:pPr>
      <w:r w:rsidRPr="00C54477">
        <w:rPr>
          <w:rFonts w:cstheme="minorHAnsi"/>
          <w:sz w:val="22"/>
          <w:szCs w:val="22"/>
        </w:rPr>
        <w:lastRenderedPageBreak/>
        <w:t>zabezpečovať sociálne poradenstvo, resp. inú individuálnu intervenciu, za predpokladu dodržania podmienok bezpečnosti pri práci,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ind w:right="20"/>
        <w:jc w:val="both"/>
        <w:rPr>
          <w:rFonts w:eastAsia="Wingdings" w:cstheme="minorHAnsi"/>
          <w:sz w:val="22"/>
          <w:szCs w:val="22"/>
          <w:vertAlign w:val="superscript"/>
        </w:rPr>
      </w:pPr>
      <w:r w:rsidRPr="00C54477">
        <w:rPr>
          <w:rFonts w:cstheme="minorHAnsi"/>
          <w:sz w:val="22"/>
          <w:szCs w:val="22"/>
        </w:rPr>
        <w:t>v spolupráci s inými relevantnými aktérmi (napr. TSP, asistenti osvety zdravia), identifikovať aktuálne problémy v komunite a hľadať možnosti svojpomocného riešenia identifikovaných problémov (napríklad svojpomocné zabezpečenie ochranných pomôcok – rúška, dezinfekčné prostriedky, ochranné štíty a pod. pre cieľovú skupinu spolu s praktickým návodom na používanie týchto ochranných pomôcok; napríklad aj obrázkovou formou),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 w:cstheme="minorHAnsi"/>
          <w:sz w:val="22"/>
          <w:szCs w:val="22"/>
          <w:vertAlign w:val="superscript"/>
        </w:rPr>
      </w:pPr>
      <w:r w:rsidRPr="00C54477">
        <w:rPr>
          <w:rFonts w:cstheme="minorHAnsi"/>
          <w:sz w:val="22"/>
          <w:szCs w:val="22"/>
        </w:rPr>
        <w:t>v spolupráci s inými relevantnými aktérmi (napr. TSP, asistenti osvety zdravia)</w:t>
      </w:r>
      <w:r w:rsidRPr="00C54477">
        <w:rPr>
          <w:rFonts w:eastAsia="Wingdings" w:cstheme="minorHAnsi"/>
          <w:sz w:val="22"/>
          <w:szCs w:val="22"/>
          <w:vertAlign w:val="superscript"/>
        </w:rPr>
        <w:t xml:space="preserve"> </w:t>
      </w:r>
      <w:r w:rsidRPr="00C54477">
        <w:rPr>
          <w:rFonts w:cstheme="minorHAnsi"/>
          <w:sz w:val="22"/>
          <w:szCs w:val="22"/>
        </w:rPr>
        <w:t>poskytovanie praktických informácií a návodov na riešene vzniknutých situácií</w:t>
      </w:r>
      <w:r w:rsidRPr="00C54477">
        <w:rPr>
          <w:rFonts w:eastAsia="Wingdings" w:cstheme="minorHAnsi"/>
          <w:sz w:val="22"/>
          <w:szCs w:val="22"/>
          <w:vertAlign w:val="superscript"/>
        </w:rPr>
        <w:t xml:space="preserve"> </w:t>
      </w:r>
      <w:r w:rsidRPr="00C54477">
        <w:rPr>
          <w:rFonts w:cstheme="minorHAnsi"/>
          <w:sz w:val="22"/>
          <w:szCs w:val="22"/>
        </w:rPr>
        <w:t>v domácnostiach,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ind w:right="20"/>
        <w:jc w:val="both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>spolupracovať s obecným úradom či mestskou políciou, (napríklad aj ako súčasť krízového tímu), poskytovať im relevantné informácie,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>zabezpečovať realizáciu aktivít (vzdelávacích, rozvojových, resp. záujmových) pre deti a dospelých primeraným spôsobom,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ind w:right="20"/>
        <w:jc w:val="both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>sledovať aktuálnu situáciu – nariadenie krízového štábu a ministerstiev, RÚVZ a iných relevantných subjektov vrátane informačných kanálov,</w:t>
      </w:r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>vykonávať mapovanie a informovanie o fungujúcich inštitúciách v lokalite, okrese</w:t>
      </w:r>
      <w:r w:rsidRPr="00C54477">
        <w:rPr>
          <w:rFonts w:eastAsia="Wingdings"/>
          <w:sz w:val="22"/>
          <w:szCs w:val="22"/>
          <w:vertAlign w:val="superscript"/>
        </w:rPr>
        <w:t xml:space="preserve"> </w:t>
      </w:r>
      <w:r w:rsidRPr="00C54477">
        <w:rPr>
          <w:sz w:val="22"/>
          <w:szCs w:val="22"/>
        </w:rPr>
        <w:t>(napr.: lekári, UPSVAR, autobusy-vlaky, potraviny…) primeraným spôsobom, zverejniť úradné hodiny verejných inštitúcií, otváracie hodiny potravín, upravené odchody autobusov/vlakov a pod. na vchodových dverách KC,</w:t>
      </w:r>
    </w:p>
    <w:p w:rsidR="00D75CDF" w:rsidRPr="00C54477" w:rsidRDefault="00D75CDF" w:rsidP="00040075">
      <w:pPr>
        <w:numPr>
          <w:ilvl w:val="0"/>
          <w:numId w:val="30"/>
        </w:numPr>
        <w:tabs>
          <w:tab w:val="left" w:pos="784"/>
        </w:tabs>
        <w:spacing w:line="240" w:lineRule="auto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>spolupracovať</w:t>
      </w:r>
      <w:r w:rsidR="00040075">
        <w:rPr>
          <w:rFonts w:eastAsia="Times New Roman"/>
          <w:sz w:val="22"/>
          <w:szCs w:val="22"/>
        </w:rPr>
        <w:t xml:space="preserve"> </w:t>
      </w:r>
      <w:r w:rsidR="00040075">
        <w:rPr>
          <w:sz w:val="22"/>
          <w:szCs w:val="22"/>
        </w:rPr>
        <w:t xml:space="preserve">pri zabezpečovaní dostupnosti hygienických </w:t>
      </w:r>
      <w:r w:rsidRPr="00C54477">
        <w:rPr>
          <w:sz w:val="22"/>
          <w:szCs w:val="22"/>
        </w:rPr>
        <w:t>potrieb,</w:t>
      </w:r>
      <w:r w:rsidR="00040075">
        <w:rPr>
          <w:rFonts w:eastAsia="Times New Roman"/>
          <w:sz w:val="22"/>
          <w:szCs w:val="22"/>
        </w:rPr>
        <w:t xml:space="preserve"> </w:t>
      </w:r>
      <w:r w:rsidRPr="00C54477">
        <w:rPr>
          <w:sz w:val="22"/>
          <w:szCs w:val="22"/>
        </w:rPr>
        <w:t>potravín</w:t>
      </w:r>
      <w:r w:rsidRPr="00C54477">
        <w:rPr>
          <w:rFonts w:eastAsia="Wingdings"/>
          <w:sz w:val="22"/>
          <w:szCs w:val="22"/>
          <w:vertAlign w:val="superscript"/>
        </w:rPr>
        <w:t xml:space="preserve"> </w:t>
      </w:r>
      <w:r w:rsidRPr="00C54477">
        <w:rPr>
          <w:sz w:val="22"/>
          <w:szCs w:val="22"/>
        </w:rPr>
        <w:t>a podobne,</w:t>
      </w:r>
    </w:p>
    <w:p w:rsidR="00D75CDF" w:rsidRPr="00C54477" w:rsidRDefault="00D75CDF" w:rsidP="00040075">
      <w:pPr>
        <w:numPr>
          <w:ilvl w:val="0"/>
          <w:numId w:val="30"/>
        </w:numPr>
        <w:tabs>
          <w:tab w:val="left" w:pos="784"/>
        </w:tabs>
        <w:spacing w:line="240" w:lineRule="auto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 xml:space="preserve">zabezpečovať preventívne prístupy a postupy pri manažmente podozrivých a potvrdených prípadov u klientov sociálnych služieb vo vzťahu ku </w:t>
      </w:r>
      <w:proofErr w:type="spellStart"/>
      <w:r w:rsidRPr="00C54477">
        <w:rPr>
          <w:sz w:val="22"/>
          <w:szCs w:val="22"/>
        </w:rPr>
        <w:t>koronavírusu</w:t>
      </w:r>
      <w:proofErr w:type="spellEnd"/>
      <w:r w:rsidRPr="00C54477">
        <w:rPr>
          <w:sz w:val="22"/>
          <w:szCs w:val="22"/>
        </w:rPr>
        <w:t xml:space="preserve"> COVID-19 v zmysle záväzný postup pre poskytovateľov sociálnych služieb v súvislosti s nebezpečenstvom šírenia infekcie spôsobenej </w:t>
      </w:r>
      <w:proofErr w:type="spellStart"/>
      <w:r w:rsidRPr="00C54477">
        <w:rPr>
          <w:sz w:val="22"/>
          <w:szCs w:val="22"/>
        </w:rPr>
        <w:t>koronavírusom</w:t>
      </w:r>
      <w:proofErr w:type="spellEnd"/>
      <w:r w:rsidRPr="00C54477">
        <w:rPr>
          <w:sz w:val="22"/>
          <w:szCs w:val="22"/>
        </w:rPr>
        <w:t xml:space="preserve"> (COVID-19, SARS-</w:t>
      </w:r>
      <w:proofErr w:type="spellStart"/>
      <w:r w:rsidRPr="00C54477">
        <w:rPr>
          <w:sz w:val="22"/>
          <w:szCs w:val="22"/>
        </w:rPr>
        <w:t>CoV</w:t>
      </w:r>
      <w:proofErr w:type="spellEnd"/>
      <w:r w:rsidRPr="00C54477">
        <w:rPr>
          <w:sz w:val="22"/>
          <w:szCs w:val="22"/>
        </w:rPr>
        <w:t xml:space="preserve">): </w:t>
      </w:r>
      <w:hyperlink r:id="rId8" w:history="1">
        <w:r w:rsidRPr="00C54477">
          <w:rPr>
            <w:color w:val="0563C1"/>
            <w:sz w:val="22"/>
            <w:szCs w:val="22"/>
            <w:u w:val="single"/>
          </w:rPr>
          <w:t>https://www.employment.gov.sk/files/slovensky/rodina-socialna-pomoc/socialne-</w:t>
        </w:r>
      </w:hyperlink>
      <w:hyperlink r:id="rId9" w:history="1">
        <w:r w:rsidRPr="00C54477">
          <w:rPr>
            <w:color w:val="0563C1"/>
            <w:sz w:val="22"/>
            <w:szCs w:val="22"/>
            <w:u w:val="single"/>
          </w:rPr>
          <w:t>sluzby/mz-sr-mpsvr-sr-socialne-sluzby.pdf</w:t>
        </w:r>
      </w:hyperlink>
    </w:p>
    <w:p w:rsidR="00D75CDF" w:rsidRPr="00C54477" w:rsidRDefault="00D75CDF" w:rsidP="00C54477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>Zmapovanie technických možností prijímateľov sociálnych služieb v domácom prostredí pre zefektívnenie komunikácie,</w:t>
      </w:r>
    </w:p>
    <w:p w:rsidR="00D75CDF" w:rsidRPr="00C54477" w:rsidRDefault="00D75CDF" w:rsidP="00207D2D">
      <w:pPr>
        <w:numPr>
          <w:ilvl w:val="0"/>
          <w:numId w:val="30"/>
        </w:numPr>
        <w:tabs>
          <w:tab w:val="left" w:pos="784"/>
        </w:tabs>
        <w:spacing w:line="240" w:lineRule="auto"/>
        <w:jc w:val="both"/>
        <w:rPr>
          <w:rFonts w:eastAsia="Wingdings"/>
          <w:sz w:val="22"/>
          <w:szCs w:val="22"/>
          <w:vertAlign w:val="superscript"/>
        </w:rPr>
      </w:pPr>
      <w:r w:rsidRPr="00C54477">
        <w:rPr>
          <w:sz w:val="22"/>
          <w:szCs w:val="22"/>
        </w:rPr>
        <w:t>Vykonávať aktivity v teréne / návštevu terénu realizovať iba v prípade, ak majú pracovníci KC zabezpečené ochranné pomôcky.</w:t>
      </w:r>
    </w:p>
    <w:p w:rsidR="00D75CDF" w:rsidRPr="00B700D8" w:rsidRDefault="00D75CDF" w:rsidP="00D75CDF">
      <w:pPr>
        <w:spacing w:line="240" w:lineRule="auto"/>
        <w:jc w:val="both"/>
        <w:rPr>
          <w:rFonts w:eastAsia="Wingdings"/>
          <w:sz w:val="22"/>
          <w:szCs w:val="22"/>
          <w:vertAlign w:val="superscript"/>
        </w:rPr>
      </w:pPr>
    </w:p>
    <w:p w:rsidR="00D75CDF" w:rsidRPr="003344F7" w:rsidRDefault="00D75CDF" w:rsidP="003344F7">
      <w:pPr>
        <w:pStyle w:val="ListParagraph"/>
        <w:numPr>
          <w:ilvl w:val="0"/>
          <w:numId w:val="32"/>
        </w:numPr>
        <w:spacing w:line="240" w:lineRule="auto"/>
        <w:jc w:val="both"/>
        <w:rPr>
          <w:b/>
          <w:bCs/>
          <w:sz w:val="22"/>
          <w:szCs w:val="22"/>
        </w:rPr>
      </w:pPr>
      <w:r w:rsidRPr="003344F7">
        <w:rPr>
          <w:b/>
          <w:bCs/>
          <w:sz w:val="22"/>
          <w:szCs w:val="22"/>
        </w:rPr>
        <w:t>Preventívne opatrenia pri poskytovaní činnosti KC</w:t>
      </w:r>
    </w:p>
    <w:p w:rsidR="00D75CDF" w:rsidRPr="00C54477" w:rsidRDefault="00D75CDF" w:rsidP="003344F7">
      <w:pPr>
        <w:spacing w:line="240" w:lineRule="auto"/>
        <w:jc w:val="both"/>
        <w:rPr>
          <w:sz w:val="22"/>
          <w:szCs w:val="22"/>
        </w:rPr>
      </w:pPr>
      <w:r w:rsidRPr="00C54477">
        <w:rPr>
          <w:bCs/>
          <w:sz w:val="22"/>
          <w:szCs w:val="22"/>
        </w:rPr>
        <w:t>Odporúčaný postup v prípade kontaktovania zo strany prijímateľov sociálnej služby:</w:t>
      </w:r>
    </w:p>
    <w:p w:rsidR="00D75CDF" w:rsidRPr="00B700D8" w:rsidRDefault="00D75CDF" w:rsidP="003344F7">
      <w:pPr>
        <w:spacing w:line="240" w:lineRule="auto"/>
        <w:jc w:val="both"/>
        <w:rPr>
          <w:b/>
          <w:bCs/>
          <w:sz w:val="22"/>
          <w:szCs w:val="22"/>
        </w:rPr>
      </w:pPr>
      <w:r w:rsidRPr="00B700D8">
        <w:rPr>
          <w:b/>
          <w:bCs/>
          <w:sz w:val="22"/>
          <w:szCs w:val="22"/>
        </w:rPr>
        <w:t xml:space="preserve">Ak ide o obavy z prebiehajúcej nákazy </w:t>
      </w:r>
      <w:proofErr w:type="spellStart"/>
      <w:r w:rsidRPr="00B700D8">
        <w:rPr>
          <w:b/>
          <w:bCs/>
          <w:sz w:val="22"/>
          <w:szCs w:val="22"/>
        </w:rPr>
        <w:t>koronavírusom</w:t>
      </w:r>
      <w:proofErr w:type="spellEnd"/>
      <w:r w:rsidRPr="00B700D8">
        <w:rPr>
          <w:b/>
          <w:bCs/>
          <w:sz w:val="22"/>
          <w:szCs w:val="22"/>
        </w:rPr>
        <w:t xml:space="preserve"> (vlastnej alebo člena domácnosti), tak je potrebné:</w:t>
      </w:r>
    </w:p>
    <w:p w:rsidR="00D75CDF" w:rsidRPr="00C54477" w:rsidRDefault="00D75CDF" w:rsidP="00D75CDF">
      <w:pPr>
        <w:spacing w:line="240" w:lineRule="auto"/>
        <w:ind w:left="564"/>
        <w:jc w:val="both"/>
        <w:rPr>
          <w:b/>
          <w:sz w:val="22"/>
          <w:szCs w:val="22"/>
        </w:rPr>
      </w:pPr>
      <w:r w:rsidRPr="00C54477">
        <w:rPr>
          <w:b/>
          <w:sz w:val="22"/>
          <w:szCs w:val="22"/>
        </w:rPr>
        <w:t>Terénne:</w:t>
      </w:r>
    </w:p>
    <w:p w:rsidR="00D75CDF" w:rsidRPr="00D75CDF" w:rsidRDefault="00D75CDF" w:rsidP="00D75CDF">
      <w:pPr>
        <w:pStyle w:val="ListParagraph"/>
        <w:numPr>
          <w:ilvl w:val="0"/>
          <w:numId w:val="11"/>
        </w:numPr>
        <w:tabs>
          <w:tab w:val="left" w:pos="564"/>
        </w:tabs>
        <w:spacing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Zamestnanci KC, ktorí vstupujú do komunity musia byť vybavení nevyhn</w:t>
      </w:r>
      <w:r w:rsidR="00C54477">
        <w:rPr>
          <w:sz w:val="22"/>
          <w:szCs w:val="22"/>
        </w:rPr>
        <w:t xml:space="preserve">utnými OOPP a bez </w:t>
      </w:r>
      <w:r w:rsidRPr="00D75CDF">
        <w:rPr>
          <w:sz w:val="22"/>
          <w:szCs w:val="22"/>
        </w:rPr>
        <w:t xml:space="preserve">príznakov ochorenia (bez zvýšenej teploty, dýchavičnosť </w:t>
      </w:r>
      <w:proofErr w:type="spellStart"/>
      <w:r w:rsidRPr="00D75CDF">
        <w:rPr>
          <w:sz w:val="22"/>
          <w:szCs w:val="22"/>
        </w:rPr>
        <w:t>atď</w:t>
      </w:r>
      <w:proofErr w:type="spellEnd"/>
      <w:r w:rsidRPr="00D75CDF">
        <w:rPr>
          <w:sz w:val="22"/>
          <w:szCs w:val="22"/>
        </w:rPr>
        <w:t xml:space="preserve">), v prípade osobnej komunikácie s prijímateľmi sociálnych služieb ich musia upovedomiť o povinnosti </w:t>
      </w:r>
      <w:r w:rsidRPr="00D75CDF">
        <w:rPr>
          <w:bCs/>
          <w:sz w:val="22"/>
          <w:szCs w:val="22"/>
        </w:rPr>
        <w:t>prekrytia horných dýchacích ciest (napr. prostredníctvom tvárového</w:t>
      </w:r>
      <w:r w:rsidRPr="00D75CDF">
        <w:rPr>
          <w:sz w:val="22"/>
          <w:szCs w:val="22"/>
        </w:rPr>
        <w:t xml:space="preserve"> </w:t>
      </w:r>
      <w:r w:rsidRPr="00D75CDF">
        <w:rPr>
          <w:bCs/>
          <w:sz w:val="22"/>
          <w:szCs w:val="22"/>
        </w:rPr>
        <w:t>rúška)</w:t>
      </w:r>
      <w:r w:rsidRPr="00D75CDF">
        <w:rPr>
          <w:sz w:val="22"/>
          <w:szCs w:val="22"/>
        </w:rPr>
        <w:t>;</w:t>
      </w:r>
    </w:p>
    <w:p w:rsidR="00D75CDF" w:rsidRPr="00D75CDF" w:rsidRDefault="00D75CDF" w:rsidP="00D75CDF">
      <w:pPr>
        <w:pStyle w:val="ListParagraph"/>
        <w:numPr>
          <w:ilvl w:val="0"/>
          <w:numId w:val="11"/>
        </w:numPr>
        <w:tabs>
          <w:tab w:val="left" w:pos="564"/>
        </w:tabs>
        <w:spacing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Komunikovať (ak je to možné) s prijímateľom sociálnej služby telefonicky.</w:t>
      </w:r>
    </w:p>
    <w:p w:rsidR="00D75CDF" w:rsidRPr="00D75CDF" w:rsidRDefault="00D75CDF" w:rsidP="00D75CDF">
      <w:pPr>
        <w:pStyle w:val="ListParagraph"/>
        <w:numPr>
          <w:ilvl w:val="0"/>
          <w:numId w:val="11"/>
        </w:numPr>
        <w:tabs>
          <w:tab w:val="left" w:pos="564"/>
        </w:tabs>
        <w:spacing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Dodržiavať vzdialenosť medzi osobami minimálne 2 metre v teréne;</w:t>
      </w:r>
    </w:p>
    <w:p w:rsidR="00D75CDF" w:rsidRPr="00D75CDF" w:rsidRDefault="00D75CDF" w:rsidP="00D75CDF">
      <w:pPr>
        <w:pStyle w:val="ListParagraph"/>
        <w:numPr>
          <w:ilvl w:val="0"/>
          <w:numId w:val="11"/>
        </w:numPr>
        <w:tabs>
          <w:tab w:val="left" w:pos="564"/>
        </w:tabs>
        <w:spacing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lastRenderedPageBreak/>
        <w:t>Vyhýbať sa priestorom, kde je veľa ľudí;</w:t>
      </w:r>
    </w:p>
    <w:p w:rsidR="00D75CDF" w:rsidRPr="00C54477" w:rsidRDefault="00D75CDF" w:rsidP="00D75CDF">
      <w:pPr>
        <w:tabs>
          <w:tab w:val="left" w:pos="564"/>
        </w:tabs>
        <w:spacing w:line="240" w:lineRule="auto"/>
        <w:ind w:left="564"/>
        <w:jc w:val="both"/>
        <w:rPr>
          <w:b/>
          <w:sz w:val="22"/>
          <w:szCs w:val="22"/>
        </w:rPr>
      </w:pPr>
      <w:r w:rsidRPr="00C54477">
        <w:rPr>
          <w:b/>
          <w:sz w:val="22"/>
          <w:szCs w:val="22"/>
        </w:rPr>
        <w:t>Ambulantne:</w:t>
      </w:r>
    </w:p>
    <w:p w:rsidR="00D75CDF" w:rsidRDefault="00D75CDF" w:rsidP="00C54477">
      <w:pPr>
        <w:pStyle w:val="ListParagraph"/>
        <w:numPr>
          <w:ilvl w:val="0"/>
          <w:numId w:val="10"/>
        </w:numPr>
        <w:tabs>
          <w:tab w:val="left" w:pos="564"/>
        </w:tabs>
        <w:spacing w:after="120" w:line="240" w:lineRule="auto"/>
        <w:jc w:val="both"/>
        <w:rPr>
          <w:sz w:val="22"/>
          <w:szCs w:val="22"/>
        </w:rPr>
      </w:pPr>
      <w:r w:rsidRPr="00B700D8">
        <w:rPr>
          <w:sz w:val="22"/>
          <w:szCs w:val="22"/>
        </w:rPr>
        <w:t>Pred príchodom prijímateľa sociálnej služby do KC na vytvorenom mieste (viď priestorové podmienky) urobiť skríning so zameraním na akútnu respiračnú infekciu, teplotu, kašeľ, dýchavicu, resp. overenie si, či v rodine nie je niekto s potvrdeným ochorením COVID-19 alebo nebol v úzkom kontakte s takým pacientom v posledných 14 dňoch alebo s cestovateľskou anamnézou člena domácnosti v rizikovej oblasti v posledných 14 dňoch;</w:t>
      </w:r>
    </w:p>
    <w:p w:rsidR="00D75CDF" w:rsidRPr="00D75CDF" w:rsidRDefault="00D75CDF" w:rsidP="00C54477">
      <w:pPr>
        <w:pStyle w:val="ListParagraph"/>
        <w:numPr>
          <w:ilvl w:val="0"/>
          <w:numId w:val="10"/>
        </w:numPr>
        <w:tabs>
          <w:tab w:val="left" w:pos="564"/>
        </w:tabs>
        <w:spacing w:after="120"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Ak je dôvodné podozrenie, že prijímateľ sociálnej služby má respiračnú infekciu s jedným z vyššie uvedených príznakov, nebude mu povolený vstup do KC;</w:t>
      </w:r>
    </w:p>
    <w:p w:rsidR="00D75CDF" w:rsidRPr="00B700D8" w:rsidRDefault="00D75CDF" w:rsidP="00C54477">
      <w:pPr>
        <w:pStyle w:val="ListParagraph"/>
        <w:numPr>
          <w:ilvl w:val="0"/>
          <w:numId w:val="17"/>
        </w:numPr>
        <w:tabs>
          <w:tab w:val="left" w:pos="564"/>
        </w:tabs>
        <w:spacing w:after="120" w:line="276" w:lineRule="auto"/>
        <w:rPr>
          <w:sz w:val="22"/>
          <w:szCs w:val="22"/>
        </w:rPr>
      </w:pPr>
      <w:r w:rsidRPr="00B700D8">
        <w:rPr>
          <w:sz w:val="22"/>
          <w:szCs w:val="22"/>
        </w:rPr>
        <w:t>Dodržiavať vzdialenosť medzi osobami minimálne 2 metre;</w:t>
      </w:r>
    </w:p>
    <w:p w:rsidR="00D75CDF" w:rsidRPr="00B700D8" w:rsidRDefault="00D75CDF" w:rsidP="00C54477">
      <w:pPr>
        <w:pStyle w:val="ListParagraph"/>
        <w:numPr>
          <w:ilvl w:val="0"/>
          <w:numId w:val="17"/>
        </w:numPr>
        <w:tabs>
          <w:tab w:val="left" w:pos="564"/>
        </w:tabs>
        <w:spacing w:after="120" w:line="276" w:lineRule="auto"/>
        <w:rPr>
          <w:sz w:val="22"/>
          <w:szCs w:val="22"/>
        </w:rPr>
      </w:pPr>
      <w:r w:rsidRPr="00B700D8">
        <w:rPr>
          <w:sz w:val="22"/>
          <w:szCs w:val="22"/>
        </w:rPr>
        <w:t>Vyhýbať sa priestorom, kde je veľa ľudí;</w:t>
      </w:r>
    </w:p>
    <w:p w:rsidR="00D75CDF" w:rsidRPr="00B700D8" w:rsidRDefault="00D75CDF" w:rsidP="00D75CDF">
      <w:pPr>
        <w:spacing w:line="276" w:lineRule="auto"/>
        <w:rPr>
          <w:rFonts w:eastAsia="Times New Roman"/>
          <w:sz w:val="22"/>
          <w:szCs w:val="22"/>
        </w:rPr>
      </w:pPr>
    </w:p>
    <w:p w:rsidR="00D75CDF" w:rsidRPr="00D75CDF" w:rsidRDefault="00D75CDF" w:rsidP="003344F7">
      <w:pPr>
        <w:spacing w:line="194" w:lineRule="auto"/>
        <w:rPr>
          <w:rFonts w:eastAsia="Times New Roman"/>
          <w:sz w:val="22"/>
          <w:szCs w:val="22"/>
        </w:rPr>
      </w:pPr>
      <w:r w:rsidRPr="00B700D8">
        <w:rPr>
          <w:b/>
          <w:bCs/>
          <w:sz w:val="22"/>
          <w:szCs w:val="22"/>
        </w:rPr>
        <w:t>V prípade odôvodneného podozreni</w:t>
      </w:r>
      <w:r>
        <w:rPr>
          <w:b/>
          <w:bCs/>
          <w:sz w:val="22"/>
          <w:szCs w:val="22"/>
        </w:rPr>
        <w:t>a na infikovanie COVID-19 počas</w:t>
      </w:r>
      <w:r w:rsidRPr="00B700D8">
        <w:rPr>
          <w:b/>
          <w:bCs/>
          <w:sz w:val="22"/>
          <w:szCs w:val="22"/>
        </w:rPr>
        <w:t xml:space="preserve"> poskytovania sociálnej služby v KC:</w:t>
      </w:r>
    </w:p>
    <w:p w:rsidR="00D75CDF" w:rsidRDefault="00D75CDF" w:rsidP="00C54477">
      <w:pPr>
        <w:pStyle w:val="ListParagraph"/>
        <w:numPr>
          <w:ilvl w:val="0"/>
          <w:numId w:val="16"/>
        </w:numPr>
        <w:tabs>
          <w:tab w:val="left" w:pos="564"/>
        </w:tabs>
        <w:spacing w:after="0"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Prijímateľ sociálnej služby musí byť bezodkladne izolovaný. Musí sa vyhnúť úzkemu a telesnému kontaktu s osobami, povrchmi alebo predmetmi, mať rúško alebo vreckovku, ktoré sú následne bezpečne zlikvidované (Ak užívateľ prijímateľ sociálnej služby potrebuje použiť toaletu, zatiaľ čo čaká na lekársku/zdravotnícku pomoc, mal by použiť samostatnú toaletu, pokiaľ je k dispozícii. To platí len po dobu čakania na prevoz do nemocnice);</w:t>
      </w:r>
    </w:p>
    <w:p w:rsidR="00D75CDF" w:rsidRDefault="00D75CDF" w:rsidP="00C54477">
      <w:pPr>
        <w:pStyle w:val="ListParagraph"/>
        <w:numPr>
          <w:ilvl w:val="0"/>
          <w:numId w:val="16"/>
        </w:numPr>
        <w:tabs>
          <w:tab w:val="left" w:pos="564"/>
        </w:tabs>
        <w:spacing w:after="0" w:line="240" w:lineRule="auto"/>
        <w:rPr>
          <w:sz w:val="22"/>
          <w:szCs w:val="22"/>
        </w:rPr>
      </w:pPr>
      <w:r w:rsidRPr="00D75CDF">
        <w:rPr>
          <w:sz w:val="22"/>
          <w:szCs w:val="22"/>
        </w:rPr>
        <w:t>Bezodkladne telefonicky kontaktovať príslušného lekára a príslušnú RÚVZ linku, prípadne byť nápomocný s telefonickým informovaním príslušných úrad</w:t>
      </w:r>
      <w:r>
        <w:rPr>
          <w:sz w:val="22"/>
          <w:szCs w:val="22"/>
        </w:rPr>
        <w:t>ov pre určenie ďalšieho postupu</w:t>
      </w:r>
    </w:p>
    <w:p w:rsidR="00D75CDF" w:rsidRPr="00D75CDF" w:rsidRDefault="00D75CDF" w:rsidP="00C54477">
      <w:pPr>
        <w:pStyle w:val="ListParagraph"/>
        <w:numPr>
          <w:ilvl w:val="0"/>
          <w:numId w:val="16"/>
        </w:numPr>
        <w:tabs>
          <w:tab w:val="left" w:pos="564"/>
        </w:tabs>
        <w:spacing w:after="0"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Informovať prijímateľa sociálnej služby o nutnosti domácej karantény a spôsoboch jej dodržiavania a požiadať prijímateľa sociálnej služby, aby bezodkladne zabezpečil karanténu aj ostatných členov domácnosti (ak RÚVZ neurčí inak). V prípade, ak nie je možné požiadať prijímateľa sociálnej služby o zabezpečenie karantény v domácom prostrední, napr., v rámci cieľovej skupiny ľudí bez domova, je potrebné kontaktovať aj zástupcov obce/mesta o možnosti umiestniť takéhoto prijímateľa sociálnych služieb do nimi zriadených karanténnych miest slúžiacich na prevenciu pred šírením COVID-19, resp. o možnosti zabezpečiť testovanie takýchto prijímateľov sociálnych služieb;</w:t>
      </w:r>
    </w:p>
    <w:p w:rsidR="00D75CDF" w:rsidRDefault="00040075" w:rsidP="00C54477">
      <w:pPr>
        <w:pStyle w:val="ListParagraph"/>
        <w:numPr>
          <w:ilvl w:val="0"/>
          <w:numId w:val="16"/>
        </w:numPr>
        <w:tabs>
          <w:tab w:val="left" w:pos="564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</w:t>
      </w:r>
      <w:r w:rsidR="00D75CDF" w:rsidRPr="00D75CDF">
        <w:rPr>
          <w:sz w:val="22"/>
          <w:szCs w:val="22"/>
        </w:rPr>
        <w:t>užívateľ prijímateľ sociálnej služby potrebuje použiť toaletu, zatiaľ čo čaká na lekársku/zdravotnícku pomoc, mal by použiť samostatnú toaletu, pokiaľ je k dispozícii. To platí len po dobu čakania na prevoz do nemocnice;</w:t>
      </w:r>
    </w:p>
    <w:p w:rsidR="00D75CDF" w:rsidRPr="00D75CDF" w:rsidRDefault="00D75CDF" w:rsidP="00C54477">
      <w:pPr>
        <w:pStyle w:val="ListParagraph"/>
        <w:numPr>
          <w:ilvl w:val="0"/>
          <w:numId w:val="16"/>
        </w:numPr>
        <w:tabs>
          <w:tab w:val="left" w:pos="564"/>
        </w:tabs>
        <w:spacing w:after="0"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Upokojiť prijímateľa sociálnej služby - poskytnúť mu podporu;</w:t>
      </w:r>
    </w:p>
    <w:p w:rsidR="00D75CDF" w:rsidRPr="00D75CDF" w:rsidRDefault="00D75CDF" w:rsidP="00C54477">
      <w:pPr>
        <w:pStyle w:val="ListParagraph"/>
        <w:numPr>
          <w:ilvl w:val="0"/>
          <w:numId w:val="16"/>
        </w:numPr>
        <w:tabs>
          <w:tab w:val="left" w:pos="564"/>
        </w:tabs>
        <w:spacing w:after="0"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>Poskytnúť prijímateľovi sociálnej služby telefonický kontakt na zamestnancov KC pre prípad ďalších súvisiacich otázok a problémov;</w:t>
      </w:r>
    </w:p>
    <w:p w:rsidR="00D75CDF" w:rsidRDefault="00D75CDF" w:rsidP="00C5447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</w:rPr>
      </w:pPr>
      <w:r w:rsidRPr="00D75CDF">
        <w:rPr>
          <w:sz w:val="22"/>
          <w:szCs w:val="22"/>
        </w:rPr>
        <w:t xml:space="preserve">Konkrétnejší postup pre inšpiráciu je spracovaný v čl. č. 9 a následne v rámci prílohy č. 2– Modelového krízového plán na predchádzanie a riešenie mimoriadnej udalosti v súvislosti s nebezpečenstvom šírenia ochorenia COVID-19 spôsobenej </w:t>
      </w:r>
      <w:proofErr w:type="spellStart"/>
      <w:r w:rsidRPr="00D75CDF">
        <w:rPr>
          <w:sz w:val="22"/>
          <w:szCs w:val="22"/>
        </w:rPr>
        <w:t>koronavírusom</w:t>
      </w:r>
      <w:proofErr w:type="spellEnd"/>
      <w:r w:rsidRPr="00D75CDF">
        <w:rPr>
          <w:sz w:val="22"/>
          <w:szCs w:val="22"/>
        </w:rPr>
        <w:t>.</w:t>
      </w:r>
    </w:p>
    <w:p w:rsidR="00D75CDF" w:rsidRPr="00B700D8" w:rsidRDefault="00D75CDF" w:rsidP="00D75CDF">
      <w:pPr>
        <w:spacing w:line="24" w:lineRule="exact"/>
        <w:rPr>
          <w:rFonts w:eastAsia="Times New Roman"/>
          <w:sz w:val="22"/>
          <w:szCs w:val="22"/>
        </w:rPr>
      </w:pPr>
      <w:bookmarkStart w:id="1" w:name="page8"/>
      <w:bookmarkEnd w:id="1"/>
    </w:p>
    <w:p w:rsidR="002D61BF" w:rsidRDefault="002D61BF" w:rsidP="00D75CDF">
      <w:pPr>
        <w:spacing w:line="0" w:lineRule="atLeast"/>
        <w:ind w:left="4"/>
        <w:rPr>
          <w:sz w:val="22"/>
          <w:szCs w:val="22"/>
        </w:rPr>
      </w:pPr>
    </w:p>
    <w:p w:rsidR="0098412E" w:rsidRPr="00040075" w:rsidRDefault="008066B0" w:rsidP="008066B0">
      <w:pPr>
        <w:spacing w:line="0" w:lineRule="atLeast"/>
        <w:ind w:left="4"/>
        <w:rPr>
          <w:bCs/>
          <w:sz w:val="22"/>
          <w:szCs w:val="22"/>
        </w:rPr>
      </w:pPr>
      <w:r>
        <w:rPr>
          <w:sz w:val="22"/>
          <w:szCs w:val="22"/>
        </w:rPr>
        <w:t xml:space="preserve">Krízový plán </w:t>
      </w:r>
      <w:r w:rsidR="0098412E">
        <w:rPr>
          <w:sz w:val="22"/>
          <w:szCs w:val="22"/>
        </w:rPr>
        <w:t>je platný od dátumu zverejnenia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412E" w:rsidRPr="008066B0">
        <w:rPr>
          <w:bCs/>
          <w:sz w:val="22"/>
          <w:szCs w:val="22"/>
        </w:rPr>
        <w:t xml:space="preserve">Dátum zverejnenia: </w:t>
      </w:r>
      <w:r w:rsidR="0098412E" w:rsidRPr="008066B0">
        <w:rPr>
          <w:bCs/>
          <w:sz w:val="22"/>
          <w:szCs w:val="22"/>
        </w:rPr>
        <w:t>5</w:t>
      </w:r>
      <w:r w:rsidR="0098412E" w:rsidRPr="008066B0">
        <w:rPr>
          <w:bCs/>
          <w:sz w:val="22"/>
          <w:szCs w:val="22"/>
        </w:rPr>
        <w:t>. 5. 2020</w:t>
      </w:r>
    </w:p>
    <w:p w:rsidR="0098412E" w:rsidRDefault="0098412E" w:rsidP="00D75CDF">
      <w:pPr>
        <w:spacing w:line="0" w:lineRule="atLeast"/>
        <w:ind w:left="4"/>
        <w:rPr>
          <w:sz w:val="22"/>
          <w:szCs w:val="22"/>
        </w:rPr>
      </w:pPr>
    </w:p>
    <w:p w:rsidR="0098412E" w:rsidRDefault="0098412E" w:rsidP="00D75CDF">
      <w:pPr>
        <w:spacing w:line="0" w:lineRule="atLeast"/>
        <w:ind w:left="4"/>
        <w:rPr>
          <w:sz w:val="22"/>
          <w:szCs w:val="22"/>
        </w:rPr>
      </w:pPr>
    </w:p>
    <w:p w:rsidR="008066B0" w:rsidRDefault="008066B0" w:rsidP="00D75CDF">
      <w:pPr>
        <w:spacing w:line="0" w:lineRule="atLeast"/>
        <w:ind w:left="4"/>
        <w:rPr>
          <w:sz w:val="22"/>
          <w:szCs w:val="22"/>
        </w:rPr>
      </w:pPr>
    </w:p>
    <w:p w:rsidR="008066B0" w:rsidRDefault="008066B0" w:rsidP="00D75CDF">
      <w:pPr>
        <w:spacing w:line="0" w:lineRule="atLeast"/>
        <w:ind w:left="4"/>
        <w:rPr>
          <w:sz w:val="22"/>
          <w:szCs w:val="22"/>
        </w:rPr>
      </w:pPr>
    </w:p>
    <w:p w:rsidR="00D75CDF" w:rsidRPr="00B700D8" w:rsidRDefault="00D75CDF" w:rsidP="00D75CD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lastRenderedPageBreak/>
        <w:t>Príloha č. 1</w:t>
      </w:r>
    </w:p>
    <w:p w:rsidR="00D75CDF" w:rsidRPr="00B700D8" w:rsidRDefault="00D75CDF" w:rsidP="00D75CDF">
      <w:pPr>
        <w:spacing w:line="2" w:lineRule="exact"/>
        <w:rPr>
          <w:rFonts w:eastAsia="Times New Roman"/>
          <w:sz w:val="22"/>
          <w:szCs w:val="22"/>
        </w:rPr>
      </w:pPr>
    </w:p>
    <w:p w:rsidR="00D75CDF" w:rsidRPr="00B700D8" w:rsidRDefault="00D75CDF" w:rsidP="00D75CD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Dezinfekcia priestorov</w:t>
      </w:r>
    </w:p>
    <w:tbl>
      <w:tblPr>
        <w:tblW w:w="1044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080"/>
        <w:gridCol w:w="454"/>
        <w:gridCol w:w="560"/>
        <w:gridCol w:w="220"/>
        <w:gridCol w:w="1556"/>
        <w:gridCol w:w="2250"/>
        <w:gridCol w:w="2790"/>
      </w:tblGrid>
      <w:tr w:rsidR="00CF1D68" w:rsidRPr="00B700D8" w:rsidTr="00CF1D68">
        <w:trPr>
          <w:cantSplit/>
          <w:trHeight w:val="768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68" w:rsidRPr="00CF1D68" w:rsidRDefault="00CF1D68" w:rsidP="00CF1D68">
            <w:pPr>
              <w:spacing w:after="0" w:line="0" w:lineRule="atLeast"/>
              <w:ind w:left="120"/>
              <w:jc w:val="center"/>
              <w:rPr>
                <w:sz w:val="22"/>
                <w:szCs w:val="22"/>
              </w:rPr>
            </w:pPr>
            <w:r w:rsidRPr="00CF1D68">
              <w:rPr>
                <w:sz w:val="22"/>
                <w:szCs w:val="22"/>
              </w:rPr>
              <w:t>Dátum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68" w:rsidRPr="00B700D8" w:rsidRDefault="00CF1D68" w:rsidP="00CF1D68">
            <w:pPr>
              <w:spacing w:after="0" w:line="0" w:lineRule="atLeast"/>
              <w:ind w:left="100"/>
              <w:jc w:val="center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Čas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68" w:rsidRPr="00B700D8" w:rsidRDefault="00CF1D68" w:rsidP="00CF1D68">
            <w:pPr>
              <w:spacing w:after="0" w:line="0" w:lineRule="atLeast"/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Miesto, ktoré bolo dezinfikované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68" w:rsidRPr="00B700D8" w:rsidRDefault="00CF1D68" w:rsidP="00CF1D68">
            <w:pPr>
              <w:spacing w:after="0" w:line="0" w:lineRule="atLeast"/>
              <w:ind w:left="100"/>
              <w:jc w:val="center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Použitý dezinfekčný prostriedok</w:t>
            </w:r>
          </w:p>
        </w:tc>
        <w:tc>
          <w:tcPr>
            <w:tcW w:w="27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D68" w:rsidRPr="00B700D8" w:rsidRDefault="00CF1D68" w:rsidP="00CF1D68">
            <w:pPr>
              <w:spacing w:after="0" w:line="0" w:lineRule="atLeast"/>
              <w:ind w:left="100"/>
              <w:jc w:val="center"/>
              <w:rPr>
                <w:sz w:val="22"/>
                <w:szCs w:val="22"/>
              </w:rPr>
            </w:pPr>
            <w:r w:rsidRPr="00B700D8">
              <w:rPr>
                <w:sz w:val="22"/>
                <w:szCs w:val="22"/>
              </w:rPr>
              <w:t>Meno zamestnanca/Podpis</w:t>
            </w:r>
          </w:p>
        </w:tc>
      </w:tr>
      <w:tr w:rsidR="00D75CDF" w:rsidRPr="00B700D8" w:rsidTr="00CF1D68">
        <w:trPr>
          <w:trHeight w:val="282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CF1D6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D75CDF" w:rsidRPr="00B700D8" w:rsidTr="00CF1D68">
        <w:trPr>
          <w:trHeight w:val="282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D75CDF" w:rsidRPr="00B700D8" w:rsidTr="00CF1D68">
        <w:trPr>
          <w:trHeight w:val="282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D75CDF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CDF" w:rsidRPr="00B700D8" w:rsidRDefault="00D75CDF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C54477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4477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477" w:rsidRPr="00B700D8" w:rsidRDefault="00C54477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CF1D68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CF1D68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CF1D68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CF1D68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040075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040075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040075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040075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075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  <w:p w:rsidR="00040075" w:rsidRPr="00B700D8" w:rsidRDefault="00040075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CF1D68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CF1D68" w:rsidRPr="00B700D8" w:rsidTr="00CF1D68">
        <w:trPr>
          <w:trHeight w:val="285"/>
        </w:trPr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D68" w:rsidRPr="00B700D8" w:rsidRDefault="00CF1D68" w:rsidP="00E24CB8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D61BF" w:rsidRDefault="002D61BF" w:rsidP="00D75CDF">
      <w:pPr>
        <w:spacing w:line="20" w:lineRule="exact"/>
        <w:rPr>
          <w:rFonts w:eastAsia="Times New Roman"/>
          <w:sz w:val="22"/>
          <w:szCs w:val="22"/>
        </w:rPr>
      </w:pPr>
    </w:p>
    <w:p w:rsidR="002D61BF" w:rsidRDefault="002D61BF" w:rsidP="00040075">
      <w:pPr>
        <w:spacing w:line="217" w:lineRule="auto"/>
        <w:ind w:right="20"/>
        <w:rPr>
          <w:sz w:val="22"/>
          <w:szCs w:val="22"/>
        </w:rPr>
      </w:pPr>
      <w:r w:rsidRPr="00B700D8">
        <w:rPr>
          <w:sz w:val="22"/>
          <w:szCs w:val="22"/>
        </w:rPr>
        <w:lastRenderedPageBreak/>
        <w:t>Príloha č. 2</w:t>
      </w:r>
    </w:p>
    <w:p w:rsidR="00BF3C48" w:rsidRDefault="00BF3C48" w:rsidP="00040075">
      <w:pPr>
        <w:spacing w:line="217" w:lineRule="auto"/>
        <w:ind w:right="20"/>
        <w:rPr>
          <w:sz w:val="22"/>
          <w:szCs w:val="22"/>
        </w:rPr>
      </w:pPr>
    </w:p>
    <w:p w:rsidR="00BF3C48" w:rsidRPr="00BF3C48" w:rsidRDefault="00BF3C48" w:rsidP="00BF3C48">
      <w:pPr>
        <w:pStyle w:val="ListParagraph"/>
        <w:numPr>
          <w:ilvl w:val="0"/>
          <w:numId w:val="33"/>
        </w:numPr>
        <w:tabs>
          <w:tab w:val="left" w:pos="144"/>
        </w:tabs>
        <w:spacing w:line="360" w:lineRule="auto"/>
        <w:rPr>
          <w:sz w:val="22"/>
          <w:szCs w:val="22"/>
        </w:rPr>
      </w:pPr>
      <w:r w:rsidRPr="00BF3C48">
        <w:rPr>
          <w:sz w:val="22"/>
          <w:szCs w:val="22"/>
        </w:rPr>
        <w:t>Úrad verejného zdravotníctva Slovenskej republiky – 0917 222 682,</w:t>
      </w:r>
    </w:p>
    <w:p w:rsidR="00BF3C48" w:rsidRPr="00BF3C48" w:rsidRDefault="00BF3C48" w:rsidP="00BF3C48">
      <w:pPr>
        <w:pStyle w:val="ListParagraph"/>
        <w:numPr>
          <w:ilvl w:val="0"/>
          <w:numId w:val="33"/>
        </w:numPr>
        <w:tabs>
          <w:tab w:val="left" w:pos="144"/>
        </w:tabs>
        <w:spacing w:line="360" w:lineRule="auto"/>
        <w:rPr>
          <w:sz w:val="22"/>
          <w:szCs w:val="22"/>
        </w:rPr>
      </w:pPr>
      <w:r w:rsidRPr="00BF3C48">
        <w:rPr>
          <w:sz w:val="22"/>
          <w:szCs w:val="22"/>
        </w:rPr>
        <w:t>R</w:t>
      </w:r>
      <w:r w:rsidRPr="00BF3C48">
        <w:rPr>
          <w:sz w:val="22"/>
          <w:szCs w:val="22"/>
        </w:rPr>
        <w:t>egionálny úrad verejného zdravotníctva so sídlom v Bratislave – 0917 426 075,</w:t>
      </w:r>
    </w:p>
    <w:p w:rsidR="00BF3C48" w:rsidRPr="00BF3C48" w:rsidRDefault="00BF3C48" w:rsidP="00BF3C48">
      <w:pPr>
        <w:pStyle w:val="ListParagraph"/>
        <w:numPr>
          <w:ilvl w:val="0"/>
          <w:numId w:val="33"/>
        </w:numPr>
        <w:tabs>
          <w:tab w:val="left" w:pos="144"/>
        </w:tabs>
        <w:spacing w:line="360" w:lineRule="auto"/>
        <w:rPr>
          <w:sz w:val="22"/>
          <w:szCs w:val="22"/>
        </w:rPr>
      </w:pPr>
      <w:r w:rsidRPr="00BF3C48">
        <w:rPr>
          <w:sz w:val="22"/>
          <w:szCs w:val="22"/>
        </w:rPr>
        <w:t>Regionálny úrad verejného zdravotníctva so sídlom v Prešove – 0911 908 823,</w:t>
      </w:r>
    </w:p>
    <w:p w:rsidR="00BF3C48" w:rsidRPr="00BF3C48" w:rsidRDefault="00BF3C48" w:rsidP="00BF3C48">
      <w:pPr>
        <w:pStyle w:val="ListParagraph"/>
        <w:numPr>
          <w:ilvl w:val="0"/>
          <w:numId w:val="33"/>
        </w:numPr>
        <w:tabs>
          <w:tab w:val="left" w:pos="284"/>
        </w:tabs>
        <w:spacing w:line="360" w:lineRule="auto"/>
        <w:rPr>
          <w:sz w:val="22"/>
          <w:szCs w:val="22"/>
        </w:rPr>
      </w:pPr>
      <w:r w:rsidRPr="00BF3C48">
        <w:rPr>
          <w:sz w:val="22"/>
          <w:szCs w:val="22"/>
        </w:rPr>
        <w:t xml:space="preserve">E-mailový kontakt: </w:t>
      </w:r>
      <w:hyperlink r:id="rId10" w:history="1">
        <w:r w:rsidRPr="00BF3C48">
          <w:rPr>
            <w:color w:val="0563C1"/>
            <w:sz w:val="22"/>
            <w:szCs w:val="22"/>
            <w:u w:val="single"/>
          </w:rPr>
          <w:t>novykoronavirus@uvzsr.sk</w:t>
        </w:r>
      </w:hyperlink>
    </w:p>
    <w:p w:rsidR="00BF3C48" w:rsidRDefault="00BF3C48" w:rsidP="00BF3C48">
      <w:pPr>
        <w:pStyle w:val="ListParagraph"/>
        <w:numPr>
          <w:ilvl w:val="0"/>
          <w:numId w:val="33"/>
        </w:numPr>
        <w:spacing w:line="360" w:lineRule="auto"/>
        <w:ind w:right="20"/>
      </w:pPr>
      <w:r>
        <w:t>Kontakty na krízový štáb: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890"/>
        <w:gridCol w:w="2160"/>
        <w:gridCol w:w="1980"/>
        <w:gridCol w:w="1854"/>
        <w:gridCol w:w="2466"/>
      </w:tblGrid>
      <w:tr w:rsidR="00BF3C48" w:rsidTr="00BF3C48">
        <w:tc>
          <w:tcPr>
            <w:tcW w:w="1890" w:type="dxa"/>
            <w:vAlign w:val="center"/>
          </w:tcPr>
          <w:p w:rsidR="00BF3C48" w:rsidRDefault="00BF3C48" w:rsidP="00BF3C48">
            <w:pPr>
              <w:spacing w:line="217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>
              <w:t>Organizácia</w:t>
            </w:r>
            <w:proofErr w:type="spellEnd"/>
          </w:p>
        </w:tc>
        <w:tc>
          <w:tcPr>
            <w:tcW w:w="2160" w:type="dxa"/>
            <w:vAlign w:val="center"/>
          </w:tcPr>
          <w:p w:rsidR="00BF3C48" w:rsidRDefault="00BF3C48" w:rsidP="00BF3C48">
            <w:pPr>
              <w:spacing w:line="217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</w:p>
        </w:tc>
        <w:tc>
          <w:tcPr>
            <w:tcW w:w="1980" w:type="dxa"/>
            <w:vAlign w:val="center"/>
          </w:tcPr>
          <w:p w:rsidR="00BF3C48" w:rsidRDefault="00BF3C48" w:rsidP="00BF3C48">
            <w:pPr>
              <w:spacing w:line="217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>
              <w:t>Pozícia</w:t>
            </w:r>
            <w:proofErr w:type="spellEnd"/>
            <w:r>
              <w:t xml:space="preserve"> v </w:t>
            </w:r>
            <w:proofErr w:type="spellStart"/>
            <w:r>
              <w:t>krízovom</w:t>
            </w:r>
            <w:proofErr w:type="spellEnd"/>
            <w:r>
              <w:t xml:space="preserve"> </w:t>
            </w:r>
            <w:proofErr w:type="spellStart"/>
            <w:r>
              <w:t>štábe</w:t>
            </w:r>
            <w:proofErr w:type="spellEnd"/>
          </w:p>
        </w:tc>
        <w:tc>
          <w:tcPr>
            <w:tcW w:w="1854" w:type="dxa"/>
            <w:vAlign w:val="center"/>
          </w:tcPr>
          <w:p w:rsidR="00BF3C48" w:rsidRDefault="00BF3C48" w:rsidP="00BF3C48">
            <w:pPr>
              <w:spacing w:line="217" w:lineRule="auto"/>
              <w:ind w:right="20"/>
              <w:jc w:val="center"/>
              <w:rPr>
                <w:sz w:val="22"/>
                <w:szCs w:val="22"/>
              </w:rPr>
            </w:pPr>
            <w:proofErr w:type="spellStart"/>
            <w:r>
              <w:t>Telefonický</w:t>
            </w:r>
            <w:proofErr w:type="spellEnd"/>
            <w:r>
              <w:t xml:space="preserve"> </w:t>
            </w:r>
            <w:proofErr w:type="spellStart"/>
            <w:r>
              <w:t>kontakt</w:t>
            </w:r>
            <w:proofErr w:type="spellEnd"/>
          </w:p>
        </w:tc>
        <w:tc>
          <w:tcPr>
            <w:tcW w:w="2466" w:type="dxa"/>
            <w:vAlign w:val="center"/>
          </w:tcPr>
          <w:p w:rsidR="00BF3C48" w:rsidRPr="00BF3C48" w:rsidRDefault="00BF3C48" w:rsidP="00BF3C48">
            <w:pPr>
              <w:spacing w:line="217" w:lineRule="auto"/>
              <w:ind w:right="20"/>
              <w:jc w:val="center"/>
            </w:pPr>
            <w:r>
              <w:t>E-m</w:t>
            </w:r>
            <w:r>
              <w:t>ail</w:t>
            </w:r>
          </w:p>
        </w:tc>
      </w:tr>
      <w:tr w:rsidR="00BF3C48" w:rsidTr="00BF3C48">
        <w:tc>
          <w:tcPr>
            <w:tcW w:w="189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</w:tr>
      <w:tr w:rsidR="00BF3C48" w:rsidTr="00BF3C48">
        <w:tc>
          <w:tcPr>
            <w:tcW w:w="189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</w:tr>
      <w:tr w:rsidR="00BF3C48" w:rsidTr="00BF3C48">
        <w:tc>
          <w:tcPr>
            <w:tcW w:w="189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:rsidR="00BF3C48" w:rsidRDefault="00BF3C48" w:rsidP="00BF3C48">
            <w:pPr>
              <w:spacing w:line="217" w:lineRule="auto"/>
              <w:ind w:right="20"/>
              <w:rPr>
                <w:sz w:val="22"/>
                <w:szCs w:val="22"/>
              </w:rPr>
            </w:pPr>
          </w:p>
        </w:tc>
      </w:tr>
    </w:tbl>
    <w:p w:rsidR="00BF3C48" w:rsidRPr="00BF3C48" w:rsidRDefault="00BF3C48" w:rsidP="00BF3C48">
      <w:pPr>
        <w:spacing w:line="217" w:lineRule="auto"/>
        <w:ind w:right="20"/>
        <w:rPr>
          <w:sz w:val="22"/>
          <w:szCs w:val="22"/>
        </w:rPr>
      </w:pP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Kontakty na zástupcov obce:</w:t>
      </w:r>
    </w:p>
    <w:p w:rsidR="002D61BF" w:rsidRPr="00B700D8" w:rsidRDefault="002D61BF" w:rsidP="002D61BF">
      <w:pPr>
        <w:spacing w:line="196" w:lineRule="auto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1" w:lineRule="exact"/>
        <w:rPr>
          <w:rFonts w:eastAsia="Times New Roman"/>
          <w:sz w:val="22"/>
          <w:szCs w:val="22"/>
        </w:rPr>
      </w:pPr>
      <w:bookmarkStart w:id="2" w:name="_GoBack"/>
      <w:bookmarkEnd w:id="2"/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295" w:lineRule="exact"/>
        <w:rPr>
          <w:rFonts w:eastAsia="Times New Roman"/>
          <w:sz w:val="22"/>
          <w:szCs w:val="22"/>
        </w:rPr>
      </w:pP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Komunitných lídrov/Odborníkov: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292" w:lineRule="exact"/>
        <w:rPr>
          <w:rFonts w:eastAsia="Times New Roman"/>
          <w:sz w:val="22"/>
          <w:szCs w:val="22"/>
        </w:rPr>
      </w:pP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Organizácie pracujúce v danej lokalite v teréne, neziskové organizácie a pod.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2D61BF" w:rsidRPr="00B700D8" w:rsidRDefault="002D61BF" w:rsidP="002D61BF">
      <w:pPr>
        <w:spacing w:line="0" w:lineRule="atLeast"/>
        <w:ind w:left="4"/>
        <w:rPr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</w:p>
    <w:p w:rsidR="00D75CDF" w:rsidRPr="00B700D8" w:rsidRDefault="002D61BF" w:rsidP="002D61BF">
      <w:pPr>
        <w:spacing w:line="0" w:lineRule="atLeast"/>
        <w:ind w:left="4"/>
        <w:rPr>
          <w:color w:val="0563C1"/>
          <w:sz w:val="22"/>
          <w:szCs w:val="22"/>
        </w:rPr>
      </w:pPr>
      <w:r w:rsidRPr="00B700D8">
        <w:rPr>
          <w:sz w:val="22"/>
          <w:szCs w:val="22"/>
        </w:rPr>
        <w:t>................................................................................</w:t>
      </w:r>
      <w:r w:rsidR="00D75CDF" w:rsidRPr="00B700D8">
        <w:rPr>
          <w:rFonts w:eastAsia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2F392E" wp14:editId="6FB167EF">
                <wp:simplePos x="0" y="0"/>
                <wp:positionH relativeFrom="column">
                  <wp:posOffset>5752465</wp:posOffset>
                </wp:positionH>
                <wp:positionV relativeFrom="paragraph">
                  <wp:posOffset>-175260</wp:posOffset>
                </wp:positionV>
                <wp:extent cx="12065" cy="12700"/>
                <wp:effectExtent l="0" t="0" r="0" b="6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A601" id="Rectangle 9" o:spid="_x0000_s1026" style="position:absolute;margin-left:452.95pt;margin-top:-13.8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zYHgIAADo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" fillcolor="black" strokecolor="white"/>
            </w:pict>
          </mc:Fallback>
        </mc:AlternateContent>
      </w:r>
    </w:p>
    <w:sectPr w:rsidR="00D75CDF" w:rsidRPr="00B7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DED7262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04090001">
      <w:start w:val="1"/>
      <w:numFmt w:val="bullet"/>
      <w:lvlText w:val="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6B68079A"/>
    <w:lvl w:ilvl="0" w:tplc="0409000F">
      <w:start w:val="2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25E45D32"/>
    <w:lvl w:ilvl="0" w:tplc="0409000F">
      <w:start w:val="2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ED3CDB06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62BBD95A"/>
    <w:lvl w:ilvl="0" w:tplc="04090001">
      <w:start w:val="1"/>
      <w:numFmt w:val="bullet"/>
      <w:lvlText w:val="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436C6124"/>
    <w:lvl w:ilvl="0" w:tplc="0409001B">
      <w:start w:val="5"/>
      <w:numFmt w:val="lowerRoman"/>
      <w:lvlText w:val="%1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333AB104"/>
    <w:lvl w:ilvl="0" w:tplc="04090001">
      <w:start w:val="1"/>
      <w:numFmt w:val="bullet"/>
      <w:lvlText w:val="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721DA316"/>
    <w:lvl w:ilvl="0" w:tplc="0409000F">
      <w:start w:val="4"/>
      <w:numFmt w:val="decimal"/>
      <w:lvlText w:val="%1."/>
      <w:lvlJc w:val="left"/>
    </w:lvl>
    <w:lvl w:ilvl="1" w:tplc="04090001">
      <w:start w:val="1"/>
      <w:numFmt w:val="bullet"/>
      <w:lvlText w:val="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75A2A8D4"/>
    <w:lvl w:ilvl="0" w:tplc="0409000F">
      <w:start w:val="10"/>
      <w:numFmt w:val="decimal"/>
      <w:lvlText w:val="%1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CF208A24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1" w15:restartNumberingAfterBreak="0">
    <w:nsid w:val="00000017"/>
    <w:multiLevelType w:val="hybridMultilevel"/>
    <w:tmpl w:val="79838CB2"/>
    <w:lvl w:ilvl="0" w:tplc="04090001">
      <w:start w:val="1"/>
      <w:numFmt w:val="bullet"/>
      <w:lvlText w:val="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4353D0CC"/>
    <w:lvl w:ilvl="0" w:tplc="0409000F">
      <w:start w:val="12"/>
      <w:numFmt w:val="decimal"/>
      <w:lvlText w:val="%1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3" w15:restartNumberingAfterBreak="0">
    <w:nsid w:val="05B47C18"/>
    <w:multiLevelType w:val="hybridMultilevel"/>
    <w:tmpl w:val="1A102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F56C5"/>
    <w:multiLevelType w:val="hybridMultilevel"/>
    <w:tmpl w:val="32B23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51B42"/>
    <w:multiLevelType w:val="hybridMultilevel"/>
    <w:tmpl w:val="B1AA526A"/>
    <w:lvl w:ilvl="0" w:tplc="35DC9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A0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1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40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1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46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6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A4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48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92684"/>
    <w:multiLevelType w:val="hybridMultilevel"/>
    <w:tmpl w:val="7B78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E1A87"/>
    <w:multiLevelType w:val="hybridMultilevel"/>
    <w:tmpl w:val="E65873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01A29"/>
    <w:multiLevelType w:val="hybridMultilevel"/>
    <w:tmpl w:val="91BE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06405"/>
    <w:multiLevelType w:val="hybridMultilevel"/>
    <w:tmpl w:val="CE82FF62"/>
    <w:lvl w:ilvl="0" w:tplc="1BFA9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8F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87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C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25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05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6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6D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AC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22C89"/>
    <w:multiLevelType w:val="hybridMultilevel"/>
    <w:tmpl w:val="95F69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020EA"/>
    <w:multiLevelType w:val="hybridMultilevel"/>
    <w:tmpl w:val="AF54A182"/>
    <w:lvl w:ilvl="0" w:tplc="8F10CE8C">
      <w:start w:val="3"/>
      <w:numFmt w:val="decimal"/>
      <w:lvlText w:val="%1."/>
      <w:lvlJc w:val="left"/>
      <w:pPr>
        <w:ind w:left="720" w:hanging="360"/>
      </w:pPr>
    </w:lvl>
    <w:lvl w:ilvl="1" w:tplc="8FB0ED2A">
      <w:start w:val="1"/>
      <w:numFmt w:val="lowerLetter"/>
      <w:lvlText w:val="%2."/>
      <w:lvlJc w:val="left"/>
      <w:pPr>
        <w:ind w:left="1440" w:hanging="360"/>
      </w:pPr>
    </w:lvl>
    <w:lvl w:ilvl="2" w:tplc="0144F8E2">
      <w:start w:val="1"/>
      <w:numFmt w:val="lowerRoman"/>
      <w:lvlText w:val="%3."/>
      <w:lvlJc w:val="right"/>
      <w:pPr>
        <w:ind w:left="2160" w:hanging="180"/>
      </w:pPr>
    </w:lvl>
    <w:lvl w:ilvl="3" w:tplc="77A69E62">
      <w:start w:val="1"/>
      <w:numFmt w:val="decimal"/>
      <w:lvlText w:val="%4."/>
      <w:lvlJc w:val="left"/>
      <w:pPr>
        <w:ind w:left="2880" w:hanging="360"/>
      </w:pPr>
    </w:lvl>
    <w:lvl w:ilvl="4" w:tplc="A132A118">
      <w:start w:val="1"/>
      <w:numFmt w:val="lowerLetter"/>
      <w:lvlText w:val="%5."/>
      <w:lvlJc w:val="left"/>
      <w:pPr>
        <w:ind w:left="3600" w:hanging="360"/>
      </w:pPr>
    </w:lvl>
    <w:lvl w:ilvl="5" w:tplc="A4749D2A">
      <w:start w:val="1"/>
      <w:numFmt w:val="lowerRoman"/>
      <w:lvlText w:val="%6."/>
      <w:lvlJc w:val="right"/>
      <w:pPr>
        <w:ind w:left="4320" w:hanging="180"/>
      </w:pPr>
    </w:lvl>
    <w:lvl w:ilvl="6" w:tplc="D96CC442">
      <w:start w:val="1"/>
      <w:numFmt w:val="decimal"/>
      <w:lvlText w:val="%7."/>
      <w:lvlJc w:val="left"/>
      <w:pPr>
        <w:ind w:left="5040" w:hanging="360"/>
      </w:pPr>
    </w:lvl>
    <w:lvl w:ilvl="7" w:tplc="C5F279E4">
      <w:start w:val="1"/>
      <w:numFmt w:val="lowerLetter"/>
      <w:lvlText w:val="%8."/>
      <w:lvlJc w:val="left"/>
      <w:pPr>
        <w:ind w:left="5760" w:hanging="360"/>
      </w:pPr>
    </w:lvl>
    <w:lvl w:ilvl="8" w:tplc="9CB2E0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96ED9"/>
    <w:multiLevelType w:val="hybridMultilevel"/>
    <w:tmpl w:val="7DB644EA"/>
    <w:lvl w:ilvl="0" w:tplc="98C4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F618D"/>
    <w:multiLevelType w:val="hybridMultilevel"/>
    <w:tmpl w:val="51603D86"/>
    <w:lvl w:ilvl="0" w:tplc="98C4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8C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0B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D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8E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84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2B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8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40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079C"/>
    <w:multiLevelType w:val="hybridMultilevel"/>
    <w:tmpl w:val="AA2493A8"/>
    <w:lvl w:ilvl="0" w:tplc="3B408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1194"/>
    <w:multiLevelType w:val="hybridMultilevel"/>
    <w:tmpl w:val="05943CA6"/>
    <w:lvl w:ilvl="0" w:tplc="3B301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09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D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D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60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2C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82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8A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76EF"/>
    <w:multiLevelType w:val="multilevel"/>
    <w:tmpl w:val="257130A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5B371749"/>
    <w:multiLevelType w:val="hybridMultilevel"/>
    <w:tmpl w:val="F2649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A66B5"/>
    <w:multiLevelType w:val="hybridMultilevel"/>
    <w:tmpl w:val="08561AC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9" w15:restartNumberingAfterBreak="0">
    <w:nsid w:val="61356818"/>
    <w:multiLevelType w:val="hybridMultilevel"/>
    <w:tmpl w:val="0F64B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A8C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0B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D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8E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84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2B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48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40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331C"/>
    <w:multiLevelType w:val="hybridMultilevel"/>
    <w:tmpl w:val="F7C0288A"/>
    <w:lvl w:ilvl="0" w:tplc="7DA47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2B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A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8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23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E5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7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8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08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95F"/>
    <w:multiLevelType w:val="hybridMultilevel"/>
    <w:tmpl w:val="A9325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E2DC7"/>
    <w:multiLevelType w:val="hybridMultilevel"/>
    <w:tmpl w:val="E5661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9"/>
  </w:num>
  <w:num w:numId="12">
    <w:abstractNumId w:val="7"/>
  </w:num>
  <w:num w:numId="13">
    <w:abstractNumId w:val="8"/>
  </w:num>
  <w:num w:numId="14">
    <w:abstractNumId w:val="16"/>
  </w:num>
  <w:num w:numId="15">
    <w:abstractNumId w:val="17"/>
  </w:num>
  <w:num w:numId="16">
    <w:abstractNumId w:val="30"/>
  </w:num>
  <w:num w:numId="17">
    <w:abstractNumId w:val="25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31"/>
  </w:num>
  <w:num w:numId="23">
    <w:abstractNumId w:val="27"/>
  </w:num>
  <w:num w:numId="24">
    <w:abstractNumId w:val="22"/>
  </w:num>
  <w:num w:numId="25">
    <w:abstractNumId w:val="32"/>
  </w:num>
  <w:num w:numId="26">
    <w:abstractNumId w:val="29"/>
  </w:num>
  <w:num w:numId="27">
    <w:abstractNumId w:val="28"/>
  </w:num>
  <w:num w:numId="28">
    <w:abstractNumId w:val="18"/>
  </w:num>
  <w:num w:numId="29">
    <w:abstractNumId w:val="14"/>
  </w:num>
  <w:num w:numId="30">
    <w:abstractNumId w:val="24"/>
  </w:num>
  <w:num w:numId="31">
    <w:abstractNumId w:val="26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F"/>
    <w:rsid w:val="00040075"/>
    <w:rsid w:val="002D61BF"/>
    <w:rsid w:val="003344F7"/>
    <w:rsid w:val="00531AD7"/>
    <w:rsid w:val="00760AC7"/>
    <w:rsid w:val="008066B0"/>
    <w:rsid w:val="0098412E"/>
    <w:rsid w:val="00AC7DAB"/>
    <w:rsid w:val="00BF3C48"/>
    <w:rsid w:val="00C54477"/>
    <w:rsid w:val="00CE3EF0"/>
    <w:rsid w:val="00CF1D68"/>
    <w:rsid w:val="00D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0BAA"/>
  <w15:chartTrackingRefBased/>
  <w15:docId w15:val="{D5E94E78-5928-4F18-9C0A-27EDB9B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DF"/>
  </w:style>
  <w:style w:type="paragraph" w:styleId="Heading1">
    <w:name w:val="heading 1"/>
    <w:basedOn w:val="Normal"/>
    <w:next w:val="Normal"/>
    <w:link w:val="Heading1Char"/>
    <w:uiPriority w:val="9"/>
    <w:qFormat/>
    <w:rsid w:val="00D75C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C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C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C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C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C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C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C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CDF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DF"/>
    <w:rPr>
      <w:rFonts w:ascii="Segoe UI" w:eastAsiaTheme="minorEastAsia" w:hAnsi="Segoe UI" w:cs="Segoe UI"/>
      <w:sz w:val="18"/>
      <w:szCs w:val="1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75CD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C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C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C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CD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C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C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C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CD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C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5CD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75CD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CD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5CD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75CDF"/>
    <w:rPr>
      <w:b/>
      <w:bCs/>
    </w:rPr>
  </w:style>
  <w:style w:type="character" w:styleId="Emphasis">
    <w:name w:val="Emphasis"/>
    <w:basedOn w:val="DefaultParagraphFont"/>
    <w:uiPriority w:val="20"/>
    <w:qFormat/>
    <w:rsid w:val="00D75CDF"/>
    <w:rPr>
      <w:i/>
      <w:iCs/>
      <w:color w:val="000000" w:themeColor="text1"/>
    </w:rPr>
  </w:style>
  <w:style w:type="paragraph" w:styleId="NoSpacing">
    <w:name w:val="No Spacing"/>
    <w:uiPriority w:val="1"/>
    <w:qFormat/>
    <w:rsid w:val="00D75C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5CD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5CD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CD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CD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5CD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5C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5C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5CD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75CD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C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ment.gov.sk/files/slovensky/rodina-socialna-pomoc/socialne-sluzby/mz-sr-mpsvr-sr-socialne-sluzby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a.gov.sk/npkiku/data/files/np_kiku/dokumenty/Standardy%20komunitnych%20centier%20brozura%20ISBN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ykoronavirus@uvz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ployment.gov.sk/files/slovensky/rodina-socialna-pomoc/socialne-sluzby/mz-sr-mpsvr-sr-socialne-sluzby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D2BD-D90A-4A0C-8F78-7704CFCE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2837</Words>
  <Characters>16172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Schneiderova</dc:creator>
  <cp:keywords/>
  <dc:description/>
  <cp:lastModifiedBy>Marian Cehelnik</cp:lastModifiedBy>
  <cp:revision>4</cp:revision>
  <dcterms:created xsi:type="dcterms:W3CDTF">2020-05-15T12:57:00Z</dcterms:created>
  <dcterms:modified xsi:type="dcterms:W3CDTF">2020-05-18T12:51:00Z</dcterms:modified>
</cp:coreProperties>
</file>